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5EA0F">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7A3A487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7B2E562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0245FB0D">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5A8AA32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651A3D4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778FAC4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44CE1EEF">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449F79EF">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17977CAA">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710C266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1910F37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7457068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r>
        <w:rPr>
          <w:rFonts w:hint="eastAsia" w:ascii="宋体" w:hAnsi="宋体"/>
          <w:sz w:val="24"/>
          <w:szCs w:val="24"/>
          <w:lang w:val="zh-CN"/>
        </w:rPr>
        <w:t>2023年度</w:t>
      </w:r>
    </w:p>
    <w:p w14:paraId="42F24AD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r>
        <w:rPr>
          <w:rFonts w:hint="eastAsia" w:ascii="宋体" w:hAnsi="宋体"/>
          <w:sz w:val="24"/>
          <w:szCs w:val="24"/>
          <w:lang w:val="zh-CN"/>
        </w:rPr>
        <w:t>华池县柔远镇柳湾小学部门决算</w:t>
      </w:r>
    </w:p>
    <w:p w14:paraId="4722FAA8">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11F1277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09C926E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1377A0FF">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4C256DE2">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62B532F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7CF7240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7C77FFF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37E54AC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477AE9C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10C83F0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469C95F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6320569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402A65BD">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15429DE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31B2CDDD">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4DD8C858">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17490C21">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center"/>
        <w:textAlignment w:val="auto"/>
        <w:rPr>
          <w:rFonts w:hint="eastAsia" w:ascii="宋体" w:hAnsi="宋体"/>
          <w:sz w:val="24"/>
          <w:szCs w:val="24"/>
          <w:lang w:val="zh-CN"/>
        </w:rPr>
      </w:pPr>
    </w:p>
    <w:p w14:paraId="261DCB4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sz w:val="24"/>
          <w:szCs w:val="24"/>
          <w:lang w:val="zh-CN"/>
        </w:rPr>
      </w:pPr>
      <w:r>
        <w:rPr>
          <w:rFonts w:hint="eastAsia" w:ascii="宋体" w:hAnsi="宋体"/>
          <w:b/>
          <w:sz w:val="24"/>
          <w:szCs w:val="24"/>
          <w:lang w:val="zh-CN"/>
        </w:rPr>
        <w:t>目录</w:t>
      </w:r>
    </w:p>
    <w:p w14:paraId="16FA846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第一部分部门概况</w:t>
      </w:r>
    </w:p>
    <w:p w14:paraId="0B38C30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一、部门职责</w:t>
      </w:r>
    </w:p>
    <w:p w14:paraId="67619F3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二、机构设置</w:t>
      </w:r>
    </w:p>
    <w:p w14:paraId="628B1AAC">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第二部分2023年度部门决算表</w:t>
      </w:r>
    </w:p>
    <w:p w14:paraId="3F173058">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一、收入支出决算总表</w:t>
      </w:r>
    </w:p>
    <w:p w14:paraId="2FEC6195">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二、收入决算表</w:t>
      </w:r>
    </w:p>
    <w:p w14:paraId="0CA3C38E">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三、支出决算表</w:t>
      </w:r>
    </w:p>
    <w:p w14:paraId="47B6702F">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四、财政拨款收入支出决算总表</w:t>
      </w:r>
    </w:p>
    <w:p w14:paraId="4523235A">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五、一般公共预算财政拨款支出决算表</w:t>
      </w:r>
    </w:p>
    <w:p w14:paraId="52CC1CD3">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7DB8D2D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3C24822F">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74BC5B60">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2DC2C4BB">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第三部分2023年度部门决算情况说明</w:t>
      </w:r>
    </w:p>
    <w:p w14:paraId="20354B6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一、收入支出决算总体情况说明</w:t>
      </w:r>
    </w:p>
    <w:p w14:paraId="06A1DF7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二、收入决算情况说明</w:t>
      </w:r>
    </w:p>
    <w:p w14:paraId="14DD55F8">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三、支出决算情况说明</w:t>
      </w:r>
    </w:p>
    <w:p w14:paraId="36CA62B2">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四、财政拨款收入支出决算总体情况说明</w:t>
      </w:r>
    </w:p>
    <w:p w14:paraId="2BD659C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16374FF2">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23D7443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42F8CB92">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4743767B">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5A963DA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13B319E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十一、政府采购支出情况说明</w:t>
      </w:r>
    </w:p>
    <w:p w14:paraId="0C381732">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十二、国有资产占用情况说明</w:t>
      </w:r>
    </w:p>
    <w:p w14:paraId="16573BB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十三、其他需要说明的情况</w:t>
      </w:r>
    </w:p>
    <w:p w14:paraId="493451E4">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第四部分预算绩效情况说明</w:t>
      </w:r>
    </w:p>
    <w:p w14:paraId="3FBD9A6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sz w:val="24"/>
          <w:szCs w:val="24"/>
          <w:lang w:val="zh-CN"/>
        </w:rPr>
      </w:pPr>
      <w:r>
        <w:rPr>
          <w:rFonts w:hint="eastAsia" w:ascii="宋体" w:hAnsi="宋体"/>
          <w:b/>
          <w:sz w:val="24"/>
          <w:szCs w:val="24"/>
          <w:lang w:val="zh-CN"/>
        </w:rPr>
        <w:t>第五部分名词解释</w:t>
      </w:r>
    </w:p>
    <w:p w14:paraId="6EFC0B62">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sz w:val="24"/>
          <w:szCs w:val="24"/>
          <w:lang w:val="zh-CN"/>
        </w:rPr>
      </w:pPr>
      <w:r>
        <w:rPr>
          <w:rFonts w:hint="eastAsia" w:ascii="宋体" w:hAnsi="宋体"/>
          <w:b/>
          <w:sz w:val="24"/>
          <w:szCs w:val="24"/>
          <w:lang w:val="zh-CN"/>
        </w:rPr>
        <w:t>第一部分部门概况</w:t>
      </w:r>
    </w:p>
    <w:p w14:paraId="36F9CF5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一、部门职责</w:t>
      </w:r>
    </w:p>
    <w:p w14:paraId="5CB6A833">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我单位隶属教育局下属的事业单位，主要以普及九年义务教育，培养合格人才为主要职能，从事教育教学事务活动。</w:t>
      </w:r>
    </w:p>
    <w:p w14:paraId="2A28A87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二、机构设置</w:t>
      </w:r>
    </w:p>
    <w:p w14:paraId="730E632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val="0"/>
          <w:bCs/>
          <w:color w:val="auto"/>
          <w:sz w:val="24"/>
          <w:szCs w:val="24"/>
          <w:lang w:val="zh-CN" w:eastAsia="zh-CN"/>
        </w:rPr>
      </w:pPr>
      <w:r>
        <w:rPr>
          <w:rFonts w:hint="eastAsia" w:ascii="宋体" w:hAnsi="宋体"/>
          <w:b w:val="0"/>
          <w:bCs/>
          <w:color w:val="auto"/>
          <w:sz w:val="24"/>
          <w:szCs w:val="24"/>
          <w:lang w:val="zh-CN" w:eastAsia="zh-CN"/>
        </w:rPr>
        <w:t>（1）机关内设机构</w:t>
      </w:r>
    </w:p>
    <w:p w14:paraId="1EEFE16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val="0"/>
          <w:bCs/>
          <w:color w:val="auto"/>
          <w:sz w:val="24"/>
          <w:szCs w:val="24"/>
          <w:lang w:val="zh-CN" w:eastAsia="zh-CN"/>
        </w:rPr>
      </w:pPr>
      <w:r>
        <w:rPr>
          <w:rFonts w:hint="eastAsia" w:ascii="宋体" w:hAnsi="宋体"/>
          <w:b w:val="0"/>
          <w:bCs/>
          <w:color w:val="auto"/>
          <w:sz w:val="24"/>
          <w:szCs w:val="24"/>
          <w:lang w:val="zh-CN" w:eastAsia="zh-CN"/>
        </w:rPr>
        <w:t>华池县柔远镇柳湾小学内设</w:t>
      </w:r>
      <w:r>
        <w:rPr>
          <w:rFonts w:hint="eastAsia" w:ascii="宋体" w:hAnsi="宋体"/>
          <w:b w:val="0"/>
          <w:bCs/>
          <w:color w:val="auto"/>
          <w:sz w:val="24"/>
          <w:szCs w:val="24"/>
          <w:lang w:val="en-US" w:eastAsia="zh-CN"/>
        </w:rPr>
        <w:t>2</w:t>
      </w:r>
      <w:r>
        <w:rPr>
          <w:rFonts w:hint="eastAsia" w:ascii="宋体" w:hAnsi="宋体"/>
          <w:b w:val="0"/>
          <w:bCs/>
          <w:color w:val="auto"/>
          <w:sz w:val="24"/>
          <w:szCs w:val="24"/>
          <w:lang w:val="zh-CN" w:eastAsia="zh-CN"/>
        </w:rPr>
        <w:t>个职能股室,包括:办公室、教务处、</w:t>
      </w:r>
    </w:p>
    <w:p w14:paraId="75C7C938">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val="0"/>
          <w:bCs/>
          <w:color w:val="auto"/>
          <w:sz w:val="24"/>
          <w:szCs w:val="24"/>
          <w:lang w:val="zh-CN" w:eastAsia="zh-CN"/>
        </w:rPr>
      </w:pPr>
      <w:r>
        <w:rPr>
          <w:rFonts w:hint="eastAsia" w:ascii="宋体" w:hAnsi="宋体"/>
          <w:b w:val="0"/>
          <w:bCs/>
          <w:color w:val="auto"/>
          <w:sz w:val="24"/>
          <w:szCs w:val="24"/>
          <w:lang w:val="zh-CN" w:eastAsia="zh-CN"/>
        </w:rPr>
        <w:t>（</w:t>
      </w:r>
      <w:r>
        <w:rPr>
          <w:rFonts w:hint="eastAsia" w:ascii="宋体" w:hAnsi="宋体"/>
          <w:b w:val="0"/>
          <w:bCs/>
          <w:color w:val="auto"/>
          <w:sz w:val="24"/>
          <w:szCs w:val="24"/>
          <w:lang w:val="en-US" w:eastAsia="zh-CN"/>
        </w:rPr>
        <w:t>2</w:t>
      </w:r>
      <w:r>
        <w:rPr>
          <w:rFonts w:hint="eastAsia" w:ascii="宋体" w:hAnsi="宋体"/>
          <w:b w:val="0"/>
          <w:bCs/>
          <w:color w:val="auto"/>
          <w:sz w:val="24"/>
          <w:szCs w:val="24"/>
          <w:lang w:val="zh-CN" w:eastAsia="zh-CN"/>
        </w:rPr>
        <w:t>）人员情况</w:t>
      </w:r>
    </w:p>
    <w:p w14:paraId="50D4F94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val="0"/>
          <w:bCs/>
          <w:color w:val="auto"/>
          <w:sz w:val="24"/>
          <w:szCs w:val="24"/>
          <w:lang w:val="zh-CN" w:eastAsia="zh-CN"/>
        </w:rPr>
      </w:pPr>
      <w:r>
        <w:rPr>
          <w:rFonts w:hint="eastAsia" w:ascii="宋体" w:hAnsi="宋体"/>
          <w:b w:val="0"/>
          <w:bCs/>
          <w:color w:val="auto"/>
          <w:sz w:val="24"/>
          <w:szCs w:val="24"/>
          <w:lang w:val="zh-CN" w:eastAsia="zh-CN"/>
        </w:rPr>
        <w:t>202</w:t>
      </w:r>
      <w:r>
        <w:rPr>
          <w:rFonts w:hint="eastAsia" w:ascii="宋体" w:hAnsi="宋体"/>
          <w:b w:val="0"/>
          <w:bCs/>
          <w:color w:val="auto"/>
          <w:sz w:val="24"/>
          <w:szCs w:val="24"/>
          <w:lang w:val="en-US" w:eastAsia="zh-CN"/>
        </w:rPr>
        <w:t>3</w:t>
      </w:r>
      <w:r>
        <w:rPr>
          <w:rFonts w:hint="eastAsia" w:ascii="宋体" w:hAnsi="宋体"/>
          <w:b w:val="0"/>
          <w:bCs/>
          <w:color w:val="auto"/>
          <w:sz w:val="24"/>
          <w:szCs w:val="24"/>
          <w:lang w:val="zh-CN" w:eastAsia="zh-CN"/>
        </w:rPr>
        <w:t>年度，我单位共有编制3</w:t>
      </w:r>
      <w:r>
        <w:rPr>
          <w:rFonts w:hint="eastAsia" w:ascii="宋体" w:hAnsi="宋体"/>
          <w:b w:val="0"/>
          <w:bCs/>
          <w:color w:val="auto"/>
          <w:sz w:val="24"/>
          <w:szCs w:val="24"/>
          <w:lang w:val="en-US" w:eastAsia="zh-CN"/>
        </w:rPr>
        <w:t>1</w:t>
      </w:r>
      <w:r>
        <w:rPr>
          <w:rFonts w:hint="eastAsia" w:ascii="宋体" w:hAnsi="宋体"/>
          <w:b w:val="0"/>
          <w:bCs/>
          <w:color w:val="auto"/>
          <w:sz w:val="24"/>
          <w:szCs w:val="24"/>
          <w:lang w:val="zh-CN" w:eastAsia="zh-CN"/>
        </w:rPr>
        <w:t>名，其中：行政编制0名，参公事业编制0名，事业编制3</w:t>
      </w:r>
      <w:r>
        <w:rPr>
          <w:rFonts w:hint="eastAsia" w:ascii="宋体" w:hAnsi="宋体"/>
          <w:b w:val="0"/>
          <w:bCs/>
          <w:color w:val="auto"/>
          <w:sz w:val="24"/>
          <w:szCs w:val="24"/>
          <w:lang w:val="en-US" w:eastAsia="zh-CN"/>
        </w:rPr>
        <w:t>1</w:t>
      </w:r>
      <w:r>
        <w:rPr>
          <w:rFonts w:hint="eastAsia" w:ascii="宋体" w:hAnsi="宋体"/>
          <w:b w:val="0"/>
          <w:bCs/>
          <w:color w:val="auto"/>
          <w:sz w:val="24"/>
          <w:szCs w:val="24"/>
          <w:lang w:val="zh-CN" w:eastAsia="zh-CN"/>
        </w:rPr>
        <w:t>名，后勤编制0名。财政供养总人数</w:t>
      </w:r>
      <w:r>
        <w:rPr>
          <w:rFonts w:hint="eastAsia" w:ascii="宋体" w:hAnsi="宋体"/>
          <w:b w:val="0"/>
          <w:bCs/>
          <w:color w:val="auto"/>
          <w:sz w:val="24"/>
          <w:szCs w:val="24"/>
          <w:lang w:val="en-US" w:eastAsia="zh-CN"/>
        </w:rPr>
        <w:t>68</w:t>
      </w:r>
      <w:r>
        <w:rPr>
          <w:rFonts w:hint="eastAsia" w:ascii="宋体" w:hAnsi="宋体"/>
          <w:b w:val="0"/>
          <w:bCs/>
          <w:color w:val="auto"/>
          <w:sz w:val="24"/>
          <w:szCs w:val="24"/>
          <w:lang w:val="zh-CN" w:eastAsia="zh-CN"/>
        </w:rPr>
        <w:t>人，其中：在职人员</w:t>
      </w:r>
      <w:r>
        <w:rPr>
          <w:rFonts w:hint="eastAsia" w:ascii="宋体" w:hAnsi="宋体"/>
          <w:b w:val="0"/>
          <w:bCs/>
          <w:color w:val="auto"/>
          <w:sz w:val="24"/>
          <w:szCs w:val="24"/>
          <w:lang w:val="en-US" w:eastAsia="zh-CN"/>
        </w:rPr>
        <w:t>31</w:t>
      </w:r>
      <w:r>
        <w:rPr>
          <w:rFonts w:hint="eastAsia" w:ascii="宋体" w:hAnsi="宋体"/>
          <w:b w:val="0"/>
          <w:bCs/>
          <w:color w:val="auto"/>
          <w:sz w:val="24"/>
          <w:szCs w:val="24"/>
          <w:lang w:val="zh-CN" w:eastAsia="zh-CN"/>
        </w:rPr>
        <w:t>人，雇佣人员0人，离退休3</w:t>
      </w:r>
      <w:r>
        <w:rPr>
          <w:rFonts w:hint="eastAsia" w:ascii="宋体" w:hAnsi="宋体"/>
          <w:b w:val="0"/>
          <w:bCs/>
          <w:color w:val="auto"/>
          <w:sz w:val="24"/>
          <w:szCs w:val="24"/>
          <w:lang w:val="en-US" w:eastAsia="zh-CN"/>
        </w:rPr>
        <w:t>6</w:t>
      </w:r>
      <w:r>
        <w:rPr>
          <w:rFonts w:hint="eastAsia" w:ascii="宋体" w:hAnsi="宋体"/>
          <w:b w:val="0"/>
          <w:bCs/>
          <w:color w:val="auto"/>
          <w:sz w:val="24"/>
          <w:szCs w:val="24"/>
          <w:lang w:val="zh-CN" w:eastAsia="zh-CN"/>
        </w:rPr>
        <w:t>人，遗属1人。</w:t>
      </w:r>
    </w:p>
    <w:p w14:paraId="1029F99C">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val="0"/>
          <w:bCs/>
          <w:color w:val="auto"/>
          <w:sz w:val="24"/>
          <w:szCs w:val="24"/>
          <w:lang w:val="zh-CN" w:eastAsia="zh-CN"/>
        </w:rPr>
      </w:pPr>
    </w:p>
    <w:p w14:paraId="15750996">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15BB96A2">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一、收入支出决算总表（见附件）</w:t>
      </w:r>
    </w:p>
    <w:p w14:paraId="73A5A8D1">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二、收入决算表（见附件）</w:t>
      </w:r>
    </w:p>
    <w:p w14:paraId="3E8B66DA">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三、支出决算表（见附件）</w:t>
      </w:r>
    </w:p>
    <w:p w14:paraId="72DEB75D">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四、财政拨款收入支出决算总表（见附件）</w:t>
      </w:r>
    </w:p>
    <w:p w14:paraId="067FB47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五、一般公共预算财政拨款支出决算表（见附件）</w:t>
      </w:r>
    </w:p>
    <w:p w14:paraId="475CA77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六、一般公共预算财政拨款基本支出决算明细表（见附件）</w:t>
      </w:r>
    </w:p>
    <w:p w14:paraId="5300ED6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七、政府性基金预算财政拨款收入支出决算表（本部门没有相关数据,故本表无数据）</w:t>
      </w:r>
    </w:p>
    <w:p w14:paraId="3A7D55C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八、国有资本经营预算财政拨款支出决算表（本部门没有相关数据,故本表无数据）</w:t>
      </w:r>
    </w:p>
    <w:p w14:paraId="791990A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经费支出决算表（本部门没有相关数据,故本表无数据）</w:t>
      </w:r>
    </w:p>
    <w:p w14:paraId="09D4F6C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p>
    <w:p w14:paraId="41383572">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56D731F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192B983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FF0000"/>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636.24万元。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减少129.59万元,下降16.92%,主要原因是在职人员减少。</w:t>
      </w:r>
    </w:p>
    <w:p w14:paraId="514D1E9D">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6CB5B13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2023年度收入合计636.24万元,其中：财政拨款收入636.24万元,占100.00%；</w:t>
      </w:r>
    </w:p>
    <w:p w14:paraId="1EBD5544">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11E8FBB3">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2023年度支出合计636.24万元,其中：基本支出531.93万元,占83.61%；项目支出104.31万元,占16.39%；</w:t>
      </w:r>
    </w:p>
    <w:p w14:paraId="5694C373">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5C419D7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636.24万元。与</w:t>
      </w:r>
      <w:r>
        <w:rPr>
          <w:rFonts w:hint="eastAsia" w:ascii="宋体" w:hAnsi="宋体"/>
          <w:color w:val="auto"/>
          <w:sz w:val="24"/>
          <w:szCs w:val="24"/>
          <w:lang w:val="en-US"/>
        </w:rPr>
        <w:t>上</w:t>
      </w:r>
      <w:r>
        <w:rPr>
          <w:rFonts w:hint="eastAsia" w:ascii="宋体" w:hAnsi="宋体"/>
          <w:color w:val="auto"/>
          <w:sz w:val="24"/>
          <w:szCs w:val="24"/>
          <w:lang w:val="zh-CN"/>
        </w:rPr>
        <w:t>年相比,各减少129.59万元,下降16.92%。主要原因是在职人员减少。</w:t>
      </w:r>
    </w:p>
    <w:p w14:paraId="665A4FF6">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4837ADD6">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1C2EF9C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2023年度一般公共预算财政拨款支出636.24万元,较上年决算数减少13.17万元,下降2.03%。主要原因是在职人员减少。</w:t>
      </w:r>
    </w:p>
    <w:p w14:paraId="72E8F0FE">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一般公共预算财政拨款支出决算结构情况</w:t>
      </w:r>
    </w:p>
    <w:p w14:paraId="644B209F">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w:t>
      </w:r>
      <w:r>
        <w:rPr>
          <w:rFonts w:hint="eastAsia" w:ascii="宋体" w:hAnsi="宋体"/>
          <w:color w:val="auto"/>
          <w:sz w:val="24"/>
          <w:szCs w:val="24"/>
          <w:lang w:val="zh-CN"/>
        </w:rPr>
        <w:t>636.24万元，主要用于以下方面：教育支出528.87万元,占83.12%；占0.0%；社会保障和就业支出69.12万元,占10.86%；卫生健康支出38.25万元,占6.01%；</w:t>
      </w:r>
    </w:p>
    <w:p w14:paraId="68B02407">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一般公共预算财政拨款支出决算具体情况。</w:t>
      </w:r>
    </w:p>
    <w:p w14:paraId="308A2555">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leftChars="0"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2023年度一般公共预算财政拨款支出年初预算为</w:t>
      </w:r>
      <w:r>
        <w:rPr>
          <w:rFonts w:hint="eastAsia" w:ascii="宋体" w:hAnsi="宋体"/>
          <w:color w:val="auto"/>
          <w:sz w:val="24"/>
          <w:szCs w:val="24"/>
          <w:lang w:val="zh-CN"/>
        </w:rPr>
        <w:t>522.96万元,支出决算为636.24万元,完成年初预算的121.66%。其中：</w:t>
      </w:r>
    </w:p>
    <w:p w14:paraId="146E3FF2">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年初预算数为445.77万元,支出决算为528.87万元,完成年初预算的118.64%,决算数大于预算数的主要原因是是</w:t>
      </w:r>
      <w:r>
        <w:rPr>
          <w:rFonts w:hint="eastAsia" w:ascii="宋体" w:hAnsi="宋体"/>
          <w:color w:val="auto"/>
          <w:sz w:val="24"/>
          <w:szCs w:val="24"/>
          <w:lang w:val="zh-CN" w:eastAsia="zh-CN"/>
        </w:rPr>
        <w:t>本年度教育支出增加</w:t>
      </w:r>
      <w:r>
        <w:rPr>
          <w:rFonts w:hint="eastAsia" w:ascii="宋体" w:hAnsi="宋体"/>
          <w:color w:val="auto"/>
          <w:sz w:val="24"/>
          <w:szCs w:val="24"/>
          <w:lang w:val="zh-CN"/>
        </w:rPr>
        <w:t>。。</w:t>
      </w:r>
    </w:p>
    <w:p w14:paraId="226EA47C">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eastAsia="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年初预算数为54.19万元,支出决算为69.12万元,完成年初预算的127.54%,决算数大于预算数的主要原因是补缴在职职工养老保险、职业年金等</w:t>
      </w:r>
      <w:r>
        <w:rPr>
          <w:rFonts w:hint="eastAsia" w:ascii="宋体" w:hAnsi="宋体"/>
          <w:color w:val="auto"/>
          <w:sz w:val="24"/>
          <w:szCs w:val="24"/>
          <w:lang w:val="zh-CN" w:eastAsia="zh-CN"/>
        </w:rPr>
        <w:t>。</w:t>
      </w:r>
    </w:p>
    <w:p w14:paraId="4D3AAA41">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年初预算数为23.00万元,支出决算为38.25万元,完成年初预算的166.35%,决算数大于预算数的主要原因是医疗保险核定基数增加、退休人员增加。</w:t>
      </w:r>
    </w:p>
    <w:p w14:paraId="49C06FF3">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7172DA6A">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2023年度一般公共预算财政拨款基本支出531.93万元。其中：</w:t>
      </w:r>
    </w:p>
    <w:p w14:paraId="5037B2EC">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530.58万元,较上年决算数减少25.0万元,下降4.5%,主要原因在职人员减少。人员经费用途基本工资、津贴补贴、奖金、绩效工资、机关事业单位基本养老保险缴费、职工基本医疗保险缴费、住房公积金、其他工资福利支出</w:t>
      </w:r>
      <w:r>
        <w:rPr>
          <w:rFonts w:hint="eastAsia" w:ascii="宋体" w:hAnsi="宋体"/>
          <w:color w:val="auto"/>
          <w:sz w:val="24"/>
          <w:szCs w:val="24"/>
          <w:lang w:val="zh-CN" w:eastAsia="zh-CN"/>
        </w:rPr>
        <w:t>等</w:t>
      </w:r>
    </w:p>
    <w:p w14:paraId="717CB33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1.35万元,较上年决算数减少92.48万元,下降98.56%,主要原因是在校学生人数减少</w:t>
      </w:r>
      <w:r>
        <w:rPr>
          <w:rFonts w:hint="eastAsia" w:ascii="宋体" w:hAnsi="宋体"/>
          <w:color w:val="auto"/>
          <w:sz w:val="24"/>
          <w:szCs w:val="24"/>
          <w:lang w:val="zh-CN" w:eastAsia="zh-CN"/>
        </w:rPr>
        <w:t>经费减少</w:t>
      </w:r>
      <w:r>
        <w:rPr>
          <w:rFonts w:hint="eastAsia" w:ascii="宋体" w:hAnsi="宋体"/>
          <w:color w:val="auto"/>
          <w:sz w:val="24"/>
          <w:szCs w:val="24"/>
          <w:lang w:val="zh-CN"/>
        </w:rPr>
        <w:t>。公用经费用途</w:t>
      </w:r>
      <w:r>
        <w:rPr>
          <w:rFonts w:hint="eastAsia" w:ascii="宋体" w:hAnsi="宋体"/>
          <w:color w:val="auto"/>
          <w:sz w:val="24"/>
          <w:szCs w:val="24"/>
          <w:lang w:val="zh-CN" w:eastAsia="zh-CN"/>
        </w:rPr>
        <w:t>取暖费、</w:t>
      </w:r>
      <w:r>
        <w:rPr>
          <w:rFonts w:hint="eastAsia" w:ascii="宋体" w:hAnsi="宋体"/>
          <w:color w:val="auto"/>
          <w:sz w:val="24"/>
          <w:szCs w:val="24"/>
          <w:lang w:val="zh-CN"/>
        </w:rPr>
        <w:t>工会经费等其他商品和服务支出。</w:t>
      </w:r>
    </w:p>
    <w:p w14:paraId="63E4BF1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2F977727">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395DC472">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3526E679">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FF0000"/>
          <w:sz w:val="24"/>
          <w:szCs w:val="24"/>
          <w:lang w:val="zh-CN"/>
        </w:rPr>
      </w:pPr>
      <w:r>
        <w:rPr>
          <w:rFonts w:hint="eastAsia" w:ascii="宋体" w:hAnsi="宋体"/>
          <w:color w:val="auto"/>
          <w:sz w:val="24"/>
          <w:szCs w:val="24"/>
          <w:lang w:val="zh-CN"/>
        </w:rPr>
        <w:t>本部门2023年度没有使用国有资本经营预算安排的支出。</w:t>
      </w:r>
    </w:p>
    <w:p w14:paraId="3547A3EE">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16D5C8F5">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b w:val="0"/>
          <w:bCs/>
          <w:color w:val="auto"/>
          <w:sz w:val="24"/>
          <w:szCs w:val="24"/>
          <w:lang w:val="zh-CN"/>
        </w:rPr>
        <w:t>我单位属于教育局下属二级预算单位,财政未保障我单位“三公”经费。</w:t>
      </w:r>
    </w:p>
    <w:p w14:paraId="3C704D50">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03AEC911">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7A32303F">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1081E50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我单位2023年度无政府采购相关经费。</w:t>
      </w:r>
    </w:p>
    <w:p w14:paraId="601AF1E7">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6E6F38C4">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01EFC291">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540BF538">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69D9FBCB">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color w:val="auto"/>
          <w:sz w:val="24"/>
          <w:szCs w:val="24"/>
          <w:lang w:val="zh-CN"/>
        </w:rPr>
      </w:pPr>
    </w:p>
    <w:p w14:paraId="55DAE592">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562B0984">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4E1308CF">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bCs/>
          <w:color w:val="auto"/>
          <w:sz w:val="24"/>
          <w:szCs w:val="24"/>
          <w:lang w:val="zh-CN" w:eastAsia="zh-CN"/>
        </w:rPr>
      </w:pPr>
      <w:r>
        <w:rPr>
          <w:rFonts w:hint="eastAsia" w:ascii="宋体" w:hAnsi="宋体"/>
          <w:b w:val="0"/>
          <w:bCs w:val="0"/>
          <w:color w:val="auto"/>
          <w:sz w:val="24"/>
          <w:szCs w:val="24"/>
          <w:lang w:val="zh-CN" w:eastAsia="zh-CN"/>
        </w:rPr>
        <w:t>根据预算绩效管理要求,本单位对2023年度一般公共预算项目支出开展绩效自评,对2023年整体支出开展了绩效自评共涉及资金</w:t>
      </w:r>
      <w:r>
        <w:rPr>
          <w:rFonts w:hint="eastAsia" w:ascii="宋体" w:hAnsi="宋体"/>
          <w:b w:val="0"/>
          <w:bCs w:val="0"/>
          <w:color w:val="auto"/>
          <w:sz w:val="24"/>
          <w:szCs w:val="24"/>
          <w:lang w:val="en-US" w:eastAsia="zh-CN"/>
        </w:rPr>
        <w:t>636.24</w:t>
      </w:r>
      <w:r>
        <w:rPr>
          <w:rFonts w:hint="eastAsia" w:ascii="宋体" w:hAnsi="宋体"/>
          <w:b w:val="0"/>
          <w:bCs w:val="0"/>
          <w:color w:val="auto"/>
          <w:sz w:val="24"/>
          <w:szCs w:val="24"/>
          <w:lang w:val="zh-CN" w:eastAsia="zh-CN"/>
        </w:rPr>
        <w:t>万元,占一般公共预算项目支出总额的100%。从评价情况来看,自评得分100分。其中,一级项目</w:t>
      </w:r>
      <w:r>
        <w:rPr>
          <w:rFonts w:hint="eastAsia" w:ascii="宋体" w:hAnsi="宋体"/>
          <w:b w:val="0"/>
          <w:bCs w:val="0"/>
          <w:color w:val="auto"/>
          <w:sz w:val="24"/>
          <w:szCs w:val="24"/>
          <w:lang w:val="en-US" w:eastAsia="zh-CN"/>
        </w:rPr>
        <w:t>2</w:t>
      </w:r>
      <w:r>
        <w:rPr>
          <w:rFonts w:hint="eastAsia" w:ascii="宋体" w:hAnsi="宋体"/>
          <w:b w:val="0"/>
          <w:bCs w:val="0"/>
          <w:color w:val="auto"/>
          <w:sz w:val="24"/>
          <w:szCs w:val="24"/>
          <w:lang w:val="zh-CN" w:eastAsia="zh-CN"/>
        </w:rPr>
        <w:t>个,二级项目0个,共涉及资金</w:t>
      </w:r>
      <w:bookmarkStart w:id="0" w:name="OLE_LINK19"/>
      <w:bookmarkStart w:id="1" w:name="OLE_LINK18"/>
      <w:r>
        <w:rPr>
          <w:rFonts w:hint="eastAsia" w:ascii="宋体" w:hAnsi="宋体"/>
          <w:b w:val="0"/>
          <w:bCs w:val="0"/>
          <w:color w:val="auto"/>
          <w:sz w:val="24"/>
          <w:szCs w:val="24"/>
          <w:lang w:val="en-US" w:eastAsia="zh-CN"/>
        </w:rPr>
        <w:t>10.18</w:t>
      </w:r>
      <w:r>
        <w:rPr>
          <w:rFonts w:hint="eastAsia" w:ascii="宋体" w:hAnsi="宋体"/>
          <w:b w:val="0"/>
          <w:bCs w:val="0"/>
          <w:color w:val="auto"/>
          <w:sz w:val="24"/>
          <w:szCs w:val="24"/>
          <w:lang w:val="zh-CN" w:eastAsia="zh-CN"/>
        </w:rPr>
        <w:t>万元</w:t>
      </w:r>
      <w:bookmarkEnd w:id="0"/>
      <w:bookmarkEnd w:id="1"/>
      <w:r>
        <w:rPr>
          <w:rFonts w:hint="eastAsia" w:ascii="宋体" w:hAnsi="宋体"/>
          <w:b w:val="0"/>
          <w:bCs w:val="0"/>
          <w:color w:val="auto"/>
          <w:sz w:val="24"/>
          <w:szCs w:val="24"/>
          <w:lang w:val="zh-CN" w:eastAsia="zh-CN"/>
        </w:rPr>
        <w:t>,占一般公共预算项目支出总额的</w:t>
      </w:r>
      <w:r>
        <w:rPr>
          <w:rFonts w:hint="eastAsia" w:ascii="宋体" w:hAnsi="宋体"/>
          <w:b w:val="0"/>
          <w:bCs w:val="0"/>
          <w:color w:val="auto"/>
          <w:sz w:val="24"/>
          <w:szCs w:val="24"/>
          <w:lang w:val="en-US" w:eastAsia="zh-CN"/>
        </w:rPr>
        <w:t>9.7</w:t>
      </w:r>
      <w:r>
        <w:rPr>
          <w:rFonts w:hint="eastAsia" w:ascii="宋体" w:hAnsi="宋体"/>
          <w:b w:val="0"/>
          <w:bCs w:val="0"/>
          <w:color w:val="auto"/>
          <w:sz w:val="24"/>
          <w:szCs w:val="24"/>
          <w:lang w:val="zh-CN" w:eastAsia="zh-CN"/>
        </w:rPr>
        <w:t>%。组织对“学生营养餐”“困难学生生活补助”等</w:t>
      </w:r>
      <w:r>
        <w:rPr>
          <w:rFonts w:hint="eastAsia" w:ascii="宋体" w:hAnsi="宋体"/>
          <w:b w:val="0"/>
          <w:bCs w:val="0"/>
          <w:color w:val="auto"/>
          <w:sz w:val="24"/>
          <w:szCs w:val="24"/>
          <w:lang w:val="en-US" w:eastAsia="zh-CN"/>
        </w:rPr>
        <w:t>2</w:t>
      </w:r>
      <w:r>
        <w:rPr>
          <w:rFonts w:hint="eastAsia" w:ascii="宋体" w:hAnsi="宋体"/>
          <w:b w:val="0"/>
          <w:bCs w:val="0"/>
          <w:color w:val="auto"/>
          <w:sz w:val="24"/>
          <w:szCs w:val="24"/>
          <w:lang w:val="zh-CN" w:eastAsia="zh-CN"/>
        </w:rPr>
        <w:t>个项目开展了部门评价,涉及一般公共预算支出</w:t>
      </w:r>
      <w:bookmarkStart w:id="2" w:name="OLE_LINK23"/>
      <w:bookmarkStart w:id="3" w:name="OLE_LINK24"/>
      <w:r>
        <w:rPr>
          <w:rFonts w:hint="eastAsia" w:ascii="宋体" w:hAnsi="宋体"/>
          <w:b w:val="0"/>
          <w:bCs w:val="0"/>
          <w:color w:val="auto"/>
          <w:sz w:val="24"/>
          <w:szCs w:val="24"/>
          <w:lang w:val="en-US" w:eastAsia="zh-CN"/>
        </w:rPr>
        <w:t>10.18</w:t>
      </w:r>
      <w:r>
        <w:rPr>
          <w:rFonts w:hint="eastAsia" w:ascii="宋体" w:hAnsi="宋体"/>
          <w:b w:val="0"/>
          <w:bCs w:val="0"/>
          <w:color w:val="auto"/>
          <w:sz w:val="24"/>
          <w:szCs w:val="24"/>
          <w:lang w:val="zh-CN" w:eastAsia="zh-CN"/>
        </w:rPr>
        <w:t>万元</w:t>
      </w:r>
      <w:bookmarkEnd w:id="2"/>
      <w:bookmarkEnd w:id="3"/>
      <w:r>
        <w:rPr>
          <w:rFonts w:hint="eastAsia" w:ascii="宋体" w:hAnsi="宋体"/>
          <w:b w:val="0"/>
          <w:bCs w:val="0"/>
          <w:color w:val="auto"/>
          <w:sz w:val="24"/>
          <w:szCs w:val="24"/>
          <w:lang w:val="zh-CN" w:eastAsia="zh-CN"/>
        </w:rPr>
        <w:t>,政府性基金预算支出0元,国有资本经营预算支出0元。从评价情况来看,从项目的经济性、效率性、有效性和可持续性等方面进行量化、具体分析，综合得分均超过98分，评价结果为“优”。</w:t>
      </w:r>
    </w:p>
    <w:p w14:paraId="153D32D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bookmarkStart w:id="8" w:name="_GoBack"/>
      <w:bookmarkEnd w:id="8"/>
    </w:p>
    <w:p w14:paraId="3BD5CD31">
      <w:pPr>
        <w:keepNext w:val="0"/>
        <w:keepLines w:val="0"/>
        <w:pageBreakBefore w:val="0"/>
        <w:widowControl/>
        <w:kinsoku/>
        <w:wordWrap/>
        <w:overflowPunct/>
        <w:topLinePunct w:val="0"/>
        <w:autoSpaceDE/>
        <w:autoSpaceDN/>
        <w:bidi w:val="0"/>
        <w:adjustRightInd/>
        <w:snapToGrid/>
        <w:spacing w:before="100" w:after="100"/>
        <w:ind w:firstLine="480" w:firstLineChars="200"/>
        <w:jc w:val="left"/>
        <w:textAlignment w:val="auto"/>
        <w:rPr>
          <w:rFonts w:ascii="宋体" w:hAnsi="宋体" w:cs="宋体"/>
          <w:kern w:val="0"/>
          <w:sz w:val="24"/>
          <w:szCs w:val="24"/>
        </w:rPr>
      </w:pPr>
      <w:r>
        <w:rPr>
          <w:rFonts w:hint="eastAsia" w:ascii="宋体" w:hAnsi="宋体" w:cs="宋体"/>
          <w:kern w:val="0"/>
          <w:sz w:val="24"/>
          <w:szCs w:val="24"/>
        </w:rPr>
        <w:t>我单位在202</w:t>
      </w:r>
      <w:r>
        <w:rPr>
          <w:rFonts w:ascii="宋体" w:hAnsi="宋体" w:cs="宋体"/>
          <w:kern w:val="0"/>
          <w:sz w:val="24"/>
          <w:szCs w:val="24"/>
        </w:rPr>
        <w:t>3</w:t>
      </w:r>
      <w:r>
        <w:rPr>
          <w:rFonts w:hint="eastAsia" w:ascii="宋体" w:hAnsi="宋体" w:cs="宋体"/>
          <w:kern w:val="0"/>
          <w:sz w:val="24"/>
          <w:szCs w:val="24"/>
        </w:rPr>
        <w:t>年度部门决算中反映部门整体支出绩效自评结果。部门整体支出绩效自评情况：根据年初设定的绩效目标,项目绩效自评得分100分。全年预算数为</w:t>
      </w:r>
      <w:bookmarkStart w:id="4" w:name="OLE_LINK21"/>
      <w:bookmarkStart w:id="5" w:name="OLE_LINK22"/>
      <w:r>
        <w:rPr>
          <w:rFonts w:hint="eastAsia" w:ascii="宋体" w:hAnsi="宋体" w:cs="宋体"/>
          <w:kern w:val="0"/>
          <w:sz w:val="24"/>
          <w:szCs w:val="24"/>
          <w:lang w:val="en-US" w:eastAsia="zh-CN"/>
        </w:rPr>
        <w:t>636.24</w:t>
      </w:r>
      <w:r>
        <w:rPr>
          <w:rFonts w:ascii="宋体" w:hAnsi="宋体" w:cs="宋体"/>
          <w:kern w:val="0"/>
          <w:sz w:val="24"/>
          <w:szCs w:val="24"/>
        </w:rPr>
        <w:t>万</w:t>
      </w:r>
      <w:r>
        <w:rPr>
          <w:rFonts w:hint="eastAsia" w:ascii="宋体" w:hAnsi="宋体" w:cs="宋体"/>
          <w:kern w:val="0"/>
          <w:sz w:val="24"/>
          <w:szCs w:val="24"/>
        </w:rPr>
        <w:t>元</w:t>
      </w:r>
      <w:bookmarkEnd w:id="4"/>
      <w:bookmarkEnd w:id="5"/>
      <w:r>
        <w:rPr>
          <w:rFonts w:hint="eastAsia" w:ascii="宋体" w:hAnsi="宋体" w:cs="宋体"/>
          <w:kern w:val="0"/>
          <w:sz w:val="24"/>
          <w:szCs w:val="24"/>
        </w:rPr>
        <w:t>,执行数为</w:t>
      </w:r>
      <w:r>
        <w:rPr>
          <w:rFonts w:hint="eastAsia" w:ascii="宋体" w:hAnsi="宋体" w:cs="宋体"/>
          <w:kern w:val="0"/>
          <w:sz w:val="24"/>
          <w:szCs w:val="24"/>
          <w:lang w:val="en-US" w:eastAsia="zh-CN"/>
        </w:rPr>
        <w:t>636.24</w:t>
      </w:r>
      <w:r>
        <w:rPr>
          <w:rFonts w:hint="eastAsia" w:ascii="宋体" w:hAnsi="宋体" w:cs="宋体"/>
          <w:kern w:val="0"/>
          <w:sz w:val="24"/>
          <w:szCs w:val="24"/>
        </w:rPr>
        <w:t>万元,完成预算的100%。202</w:t>
      </w:r>
      <w:r>
        <w:rPr>
          <w:rFonts w:ascii="宋体" w:hAnsi="宋体" w:cs="宋体"/>
          <w:kern w:val="0"/>
          <w:sz w:val="24"/>
          <w:szCs w:val="24"/>
        </w:rPr>
        <w:t>3</w:t>
      </w:r>
      <w:r>
        <w:rPr>
          <w:rFonts w:hint="eastAsia" w:ascii="宋体" w:hAnsi="宋体" w:cs="宋体"/>
          <w:kern w:val="0"/>
          <w:sz w:val="24"/>
          <w:szCs w:val="24"/>
        </w:rPr>
        <w:t>年度部门决算中反映学生营养餐、困难学生生活补助等2个项目绩效自评结果。学生营养餐项目绩效自评情况：根据年初设定的绩效目标,项目绩效自评得分为100分。项目全年预算数为</w:t>
      </w:r>
      <w:r>
        <w:rPr>
          <w:rFonts w:hint="eastAsia" w:ascii="宋体" w:hAnsi="宋体" w:cs="宋体"/>
          <w:kern w:val="0"/>
          <w:sz w:val="24"/>
          <w:szCs w:val="24"/>
          <w:lang w:val="en-US" w:eastAsia="zh-CN"/>
        </w:rPr>
        <w:t>7.33</w:t>
      </w:r>
      <w:r>
        <w:rPr>
          <w:rFonts w:hint="eastAsia" w:ascii="宋体" w:hAnsi="宋体" w:cs="宋体"/>
          <w:kern w:val="0"/>
          <w:sz w:val="24"/>
          <w:szCs w:val="24"/>
        </w:rPr>
        <w:t>万元,执行数为</w:t>
      </w:r>
      <w:r>
        <w:rPr>
          <w:rFonts w:hint="eastAsia" w:ascii="宋体" w:hAnsi="宋体" w:cs="宋体"/>
          <w:kern w:val="0"/>
          <w:sz w:val="24"/>
          <w:szCs w:val="24"/>
          <w:lang w:val="en-US" w:eastAsia="zh-CN"/>
        </w:rPr>
        <w:t>7.33</w:t>
      </w:r>
      <w:r>
        <w:rPr>
          <w:rFonts w:hint="eastAsia" w:ascii="宋体" w:hAnsi="宋体" w:cs="宋体"/>
          <w:kern w:val="0"/>
          <w:sz w:val="24"/>
          <w:szCs w:val="24"/>
        </w:rPr>
        <w:t>万元,完成预算的100%。项目绩效目标完成情况：一是资金拨付和使用按照计划完成；二是确保我校学生营养得到保障。发现的主要问题及原因：随着物价上涨，补助标准有待提高。下一步改进措施：完善相关机制，保障项目实施。困难学生生活补助项目绩效自评情况根据年初设定的绩效目标,项目绩效自评得分为100分。项目全年预算数为</w:t>
      </w:r>
      <w:r>
        <w:rPr>
          <w:rFonts w:hint="eastAsia" w:ascii="宋体" w:hAnsi="宋体" w:cs="宋体"/>
          <w:kern w:val="0"/>
          <w:sz w:val="24"/>
          <w:szCs w:val="24"/>
          <w:lang w:val="en-US" w:eastAsia="zh-CN"/>
        </w:rPr>
        <w:t>2.85</w:t>
      </w:r>
      <w:r>
        <w:rPr>
          <w:rFonts w:ascii="宋体" w:hAnsi="宋体" w:cs="宋体"/>
          <w:kern w:val="0"/>
          <w:sz w:val="24"/>
          <w:szCs w:val="24"/>
        </w:rPr>
        <w:t>万</w:t>
      </w:r>
      <w:r>
        <w:rPr>
          <w:rFonts w:hint="eastAsia" w:ascii="宋体" w:hAnsi="宋体" w:cs="宋体"/>
          <w:kern w:val="0"/>
          <w:sz w:val="24"/>
          <w:szCs w:val="24"/>
        </w:rPr>
        <w:t>元,执行数为</w:t>
      </w:r>
      <w:r>
        <w:rPr>
          <w:rFonts w:hint="eastAsia" w:ascii="宋体" w:hAnsi="宋体" w:cs="宋体"/>
          <w:kern w:val="0"/>
          <w:sz w:val="24"/>
          <w:szCs w:val="24"/>
          <w:lang w:val="en-US" w:eastAsia="zh-CN"/>
        </w:rPr>
        <w:t>2.85</w:t>
      </w:r>
      <w:r>
        <w:rPr>
          <w:rFonts w:ascii="宋体" w:hAnsi="宋体" w:cs="宋体"/>
          <w:kern w:val="0"/>
          <w:sz w:val="24"/>
          <w:szCs w:val="24"/>
        </w:rPr>
        <w:t>万元</w:t>
      </w:r>
      <w:r>
        <w:rPr>
          <w:rFonts w:hint="eastAsia" w:ascii="宋体" w:hAnsi="宋体" w:cs="宋体"/>
          <w:kern w:val="0"/>
          <w:sz w:val="24"/>
          <w:szCs w:val="24"/>
        </w:rPr>
        <w:t>,完成预算的100%。项目绩效目标完成情况：一是资金拨付和使用按照计划完成；二是保证专款专用。发现的主要问题及原因：台账管理欠规范。下一步改进措施：做好学生资助台账建设。</w:t>
      </w:r>
    </w:p>
    <w:p w14:paraId="17D3CC36">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60B4F9AC">
      <w:pPr>
        <w:keepNext w:val="0"/>
        <w:keepLines w:val="0"/>
        <w:pageBreakBefore w:val="0"/>
        <w:widowControl/>
        <w:kinsoku/>
        <w:wordWrap/>
        <w:overflowPunct/>
        <w:topLinePunct w:val="0"/>
        <w:autoSpaceDE/>
        <w:autoSpaceDN/>
        <w:bidi w:val="0"/>
        <w:adjustRightInd/>
        <w:snapToGrid/>
        <w:spacing w:before="100" w:after="100"/>
        <w:ind w:firstLine="480" w:firstLineChars="200"/>
        <w:textAlignment w:val="auto"/>
        <w:rPr>
          <w:rFonts w:asciiTheme="minorEastAsia" w:hAnsiTheme="minorEastAsia" w:eastAsiaTheme="minorEastAsia" w:cstheme="minorEastAsia"/>
          <w:sz w:val="24"/>
          <w:szCs w:val="24"/>
          <w:lang w:val="zh-CN"/>
        </w:rPr>
      </w:pPr>
      <w:bookmarkStart w:id="6" w:name="OLE_LINK26"/>
      <w:bookmarkStart w:id="7" w:name="OLE_LINK27"/>
      <w:r>
        <w:rPr>
          <w:rFonts w:hint="eastAsia" w:asciiTheme="minorEastAsia" w:hAnsiTheme="minorEastAsia" w:eastAsiaTheme="minorEastAsia" w:cstheme="minorEastAsia"/>
          <w:sz w:val="24"/>
          <w:szCs w:val="24"/>
          <w:lang w:val="zh-CN"/>
        </w:rPr>
        <w:t>部门（单位）整体支出绩效自评表（见附件）</w:t>
      </w:r>
    </w:p>
    <w:bookmarkEnd w:id="6"/>
    <w:bookmarkEnd w:id="7"/>
    <w:p w14:paraId="40E7FAB6">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73C1E10C">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5CE692C5">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33C577DD">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27F5007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27EADB59">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2173BEA9">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706529F9">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1E34016E">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516CCEBA">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2AF2AA4F">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690CFA20">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7EE6E408">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BD91347">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67DA226">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7ED0FF50">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5MjljZjJhY2M5ZjBlMmEwM2FkYmYyM2RjYTQxMTIifQ=="/>
  </w:docVars>
  <w:rsids>
    <w:rsidRoot w:val="00000000"/>
    <w:rsid w:val="2D047BEF"/>
    <w:rsid w:val="673D4D6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cc9399d1-e784-49bf-832f-e5e219e59c5a}">
  <ds:schemaRefs/>
</ds:datastoreItem>
</file>

<file path=customXml/itemProps2.xml><?xml version="1.0" encoding="utf-8"?>
<ds:datastoreItem xmlns:ds="http://schemas.openxmlformats.org/officeDocument/2006/customXml" ds:itemID="{6cc74a5f-726b-40fb-b0c1-d521bf7d5500}">
  <ds:schemaRefs/>
</ds:datastoreItem>
</file>

<file path=customXml/itemProps3.xml><?xml version="1.0" encoding="utf-8"?>
<ds:datastoreItem xmlns:ds="http://schemas.openxmlformats.org/officeDocument/2006/customXml" ds:itemID="{27718707-512d-4f93-bac2-29521f7d98c6}">
  <ds:schemaRefs/>
</ds:datastoreItem>
</file>

<file path=customXml/itemProps4.xml><?xml version="1.0" encoding="utf-8"?>
<ds:datastoreItem xmlns:ds="http://schemas.openxmlformats.org/officeDocument/2006/customXml" ds:itemID="{dc14f060-2b7b-45a0-9fb0-be5e9d96ff98}">
  <ds:schemaRefs/>
</ds:datastoreItem>
</file>

<file path=customXml/itemProps5.xml><?xml version="1.0" encoding="utf-8"?>
<ds:datastoreItem xmlns:ds="http://schemas.openxmlformats.org/officeDocument/2006/customXml" ds:itemID="{936ac6de-fad2-4246-a2c7-7609aff6d356}">
  <ds:schemaRefs/>
</ds:datastoreItem>
</file>

<file path=customXml/itemProps6.xml><?xml version="1.0" encoding="utf-8"?>
<ds:datastoreItem xmlns:ds="http://schemas.openxmlformats.org/officeDocument/2006/customXml" ds:itemID="{0c0bab8d-6c71-4f4b-b206-1585a335512c}">
  <ds:schemaRefs/>
</ds:datastoreItem>
</file>

<file path=customXml/itemProps7.xml><?xml version="1.0" encoding="utf-8"?>
<ds:datastoreItem xmlns:ds="http://schemas.openxmlformats.org/officeDocument/2006/customXml" ds:itemID="{ed2e246b-f9b3-4724-af55-3cc42be14456}">
  <ds:schemaRefs/>
</ds:datastoreItem>
</file>

<file path=customXml/itemProps8.xml><?xml version="1.0" encoding="utf-8"?>
<ds:datastoreItem xmlns:ds="http://schemas.openxmlformats.org/officeDocument/2006/customXml" ds:itemID="{18ae6fb1-8596-4c66-8062-d82ebc62cf94}">
  <ds:schemaRefs/>
</ds:datastoreItem>
</file>

<file path=customXml/itemProps9.xml><?xml version="1.0" encoding="utf-8"?>
<ds:datastoreItem xmlns:ds="http://schemas.openxmlformats.org/officeDocument/2006/customXml" ds:itemID="{75633df2-8456-4a22-bb09-f66e40ebf36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7286</Words>
  <Characters>8449</Characters>
  <Lines>0</Lines>
  <Paragraphs>0</Paragraphs>
  <TotalTime>16</TotalTime>
  <ScaleCrop>false</ScaleCrop>
  <LinksUpToDate>false</LinksUpToDate>
  <CharactersWithSpaces>8453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张峰</cp:lastModifiedBy>
  <dcterms:modified xsi:type="dcterms:W3CDTF">2024-09-18T04:40:51Z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