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270BF9">
      <w:pPr>
        <w:spacing w:before="0" w:after="0" w:line="0" w:lineRule="exact"/>
        <w:ind w:left="0" w:right="0"/>
        <w:jc w:val="left"/>
        <w:rPr>
          <w:rFonts w:hint="eastAsia"/>
          <w:b/>
          <w:bCs/>
          <w:sz w:val="44"/>
          <w:szCs w:val="44"/>
          <w:lang w:val="en-US" w:eastAsia="zh-CN"/>
        </w:rPr>
      </w:pPr>
      <w:r>
        <w:rPr>
          <w:rFonts w:ascii="Arial"/>
          <w:color w:val="FF0000"/>
          <w:spacing w:val="0"/>
          <w:sz w:val="2"/>
        </w:rPr>
        <w:t xml:space="preserve"> </w:t>
      </w:r>
    </w:p>
    <w:p w14:paraId="2A9203E9">
      <w:pPr>
        <w:keepNext w:val="0"/>
        <w:keepLines w:val="0"/>
        <w:pageBreakBefore w:val="0"/>
        <w:widowControl w:val="0"/>
        <w:kinsoku/>
        <w:wordWrap/>
        <w:overflowPunct/>
        <w:topLinePunct w:val="0"/>
        <w:autoSpaceDE/>
        <w:autoSpaceDN/>
        <w:bidi w:val="0"/>
        <w:adjustRightInd/>
        <w:snapToGrid w:val="0"/>
        <w:spacing w:before="0" w:after="0" w:line="600" w:lineRule="exact"/>
        <w:jc w:val="center"/>
        <w:textAlignment w:val="auto"/>
        <w:rPr>
          <w:rFonts w:hint="eastAsia" w:ascii="方正小标宋简体" w:hAnsi="方正小标宋简体" w:eastAsia="方正小标宋简体" w:cs="方正小标宋简体"/>
          <w:b w:val="0"/>
          <w:bCs w:val="0"/>
          <w:sz w:val="44"/>
          <w:szCs w:val="44"/>
          <w:lang w:eastAsia="zh-CN"/>
        </w:rPr>
      </w:pPr>
      <w:r>
        <w:rPr>
          <w:rFonts w:hint="eastAsia" w:ascii="方正小标宋简体" w:hAnsi="方正小标宋简体" w:eastAsia="方正小标宋简体" w:cs="方正小标宋简体"/>
          <w:b w:val="0"/>
          <w:bCs w:val="0"/>
          <w:sz w:val="44"/>
          <w:szCs w:val="44"/>
          <w:lang w:eastAsia="zh-CN"/>
        </w:rPr>
        <w:t>中国共产主义青年团华池县委员会</w:t>
      </w:r>
    </w:p>
    <w:p w14:paraId="4A335E72">
      <w:pPr>
        <w:keepNext w:val="0"/>
        <w:keepLines w:val="0"/>
        <w:pageBreakBefore w:val="0"/>
        <w:widowControl w:val="0"/>
        <w:kinsoku/>
        <w:wordWrap/>
        <w:overflowPunct/>
        <w:topLinePunct w:val="0"/>
        <w:autoSpaceDE/>
        <w:autoSpaceDN/>
        <w:bidi w:val="0"/>
        <w:adjustRightInd/>
        <w:snapToGrid w:val="0"/>
        <w:spacing w:before="0" w:after="0" w:line="600" w:lineRule="exact"/>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202</w:t>
      </w:r>
      <w:r>
        <w:rPr>
          <w:rFonts w:hint="eastAsia" w:ascii="方正小标宋简体" w:hAnsi="方正小标宋简体" w:eastAsia="方正小标宋简体" w:cs="方正小标宋简体"/>
          <w:b w:val="0"/>
          <w:bCs w:val="0"/>
          <w:sz w:val="44"/>
          <w:szCs w:val="44"/>
          <w:lang w:val="en-US" w:eastAsia="zh-CN"/>
        </w:rPr>
        <w:t>3</w:t>
      </w:r>
      <w:r>
        <w:rPr>
          <w:rFonts w:hint="eastAsia" w:ascii="方正小标宋简体" w:hAnsi="方正小标宋简体" w:eastAsia="方正小标宋简体" w:cs="方正小标宋简体"/>
          <w:b w:val="0"/>
          <w:bCs w:val="0"/>
          <w:sz w:val="44"/>
          <w:szCs w:val="44"/>
        </w:rPr>
        <w:t>年整体支出绩效自评报告</w:t>
      </w:r>
    </w:p>
    <w:p w14:paraId="63ABE398">
      <w:pPr>
        <w:keepNext w:val="0"/>
        <w:keepLines w:val="0"/>
        <w:pageBreakBefore w:val="0"/>
        <w:widowControl/>
        <w:kinsoku/>
        <w:wordWrap/>
        <w:overflowPunct/>
        <w:topLinePunct w:val="0"/>
        <w:autoSpaceDE/>
        <w:autoSpaceDN/>
        <w:bidi w:val="0"/>
        <w:adjustRightInd/>
        <w:snapToGrid w:val="0"/>
        <w:spacing w:before="0" w:after="0" w:line="560" w:lineRule="exact"/>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bookmarkStart w:id="0" w:name="_GoBack"/>
      <w:bookmarkEnd w:id="0"/>
      <w:r>
        <w:rPr>
          <w:rFonts w:hint="eastAsia" w:ascii="仿宋" w:hAnsi="仿宋" w:eastAsia="仿宋" w:cs="仿宋"/>
          <w:sz w:val="32"/>
          <w:szCs w:val="32"/>
        </w:rPr>
        <w:t>为进一步规范财政支出管理，牢固树立预算绩效理念，强化支出责任，提高财政资金使用效益，根据《华池县财政局关于开展202</w:t>
      </w:r>
      <w:r>
        <w:rPr>
          <w:rFonts w:hint="eastAsia" w:ascii="仿宋" w:hAnsi="仿宋" w:eastAsia="仿宋" w:cs="仿宋"/>
          <w:sz w:val="32"/>
          <w:szCs w:val="32"/>
          <w:lang w:val="en-US" w:eastAsia="zh-CN"/>
        </w:rPr>
        <w:t>3</w:t>
      </w:r>
      <w:r>
        <w:rPr>
          <w:rFonts w:hint="eastAsia" w:ascii="仿宋" w:hAnsi="仿宋" w:eastAsia="仿宋" w:cs="仿宋"/>
          <w:sz w:val="32"/>
          <w:szCs w:val="32"/>
        </w:rPr>
        <w:t>年度财政资金部门整体支出和项目支出绩效评价工作的通知》精神，遵循“科学性、规范性、客观性和公正性”的原则,我单位对</w:t>
      </w:r>
      <w:r>
        <w:rPr>
          <w:rFonts w:hint="eastAsia" w:ascii="仿宋" w:hAnsi="仿宋" w:eastAsia="仿宋" w:cs="仿宋"/>
          <w:sz w:val="32"/>
          <w:szCs w:val="32"/>
          <w:lang w:val="en-US" w:eastAsia="zh-CN"/>
        </w:rPr>
        <w:t>2023年</w:t>
      </w:r>
      <w:r>
        <w:rPr>
          <w:rFonts w:hint="eastAsia" w:ascii="仿宋" w:hAnsi="仿宋" w:eastAsia="仿宋" w:cs="仿宋"/>
          <w:sz w:val="32"/>
          <w:szCs w:val="32"/>
        </w:rPr>
        <w:t>整体支出进行了绩效评价，现自评情况如下：</w:t>
      </w:r>
    </w:p>
    <w:p w14:paraId="5E236C83">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rPr>
      </w:pPr>
      <w:r>
        <w:rPr>
          <w:rFonts w:hint="eastAsia" w:ascii="仿宋" w:hAnsi="仿宋" w:eastAsia="仿宋" w:cs="仿宋"/>
          <w:b/>
          <w:bCs/>
          <w:sz w:val="32"/>
          <w:szCs w:val="32"/>
        </w:rPr>
        <w:t>一、部门概况</w:t>
      </w:r>
    </w:p>
    <w:p w14:paraId="46650ADD">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（一）部门基本情况。</w:t>
      </w:r>
    </w:p>
    <w:p w14:paraId="5BBFEE8D">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t>中国共产主义青年团华池县委员会</w:t>
      </w:r>
      <w:r>
        <w:rPr>
          <w:rFonts w:hint="eastAsia" w:ascii="仿宋" w:hAnsi="仿宋" w:eastAsia="仿宋" w:cs="仿宋"/>
          <w:sz w:val="32"/>
          <w:szCs w:val="32"/>
        </w:rPr>
        <w:t>系全额预算拨款参公事业单位</w:t>
      </w:r>
      <w:r>
        <w:rPr>
          <w:rFonts w:hint="eastAsia" w:ascii="仿宋" w:hAnsi="仿宋" w:eastAsia="仿宋" w:cs="仿宋"/>
          <w:sz w:val="32"/>
          <w:szCs w:val="32"/>
          <w:lang w:eastAsia="zh-CN"/>
        </w:rPr>
        <w:t>。</w:t>
      </w:r>
    </w:p>
    <w:p w14:paraId="4C782A71">
      <w:pPr>
        <w:keepNext w:val="0"/>
        <w:keepLines w:val="0"/>
        <w:pageBreakBefore w:val="0"/>
        <w:widowControl/>
        <w:numPr>
          <w:ilvl w:val="0"/>
          <w:numId w:val="2"/>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u w:val="none"/>
        </w:rPr>
        <w:t>主要职责：</w:t>
      </w:r>
    </w:p>
    <w:p w14:paraId="13D9C2BD">
      <w:pPr>
        <w:keepNext w:val="0"/>
        <w:keepLines w:val="0"/>
        <w:pageBreakBefore w:val="0"/>
        <w:widowControl/>
        <w:numPr>
          <w:ilvl w:val="0"/>
          <w:numId w:val="0"/>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w:t>
      </w:r>
      <w:r>
        <w:rPr>
          <w:rFonts w:hint="eastAsia" w:ascii="仿宋" w:hAnsi="仿宋" w:eastAsia="仿宋" w:cs="仿宋"/>
          <w:sz w:val="32"/>
          <w:szCs w:val="32"/>
        </w:rPr>
        <w:t>领导全县共青团工作，领导全县少先队工作，对全县性青少年社团组织进行指导和管理。</w:t>
      </w:r>
    </w:p>
    <w:p w14:paraId="60C51219">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rPr>
        <w:t>参与制订全县青少年事业发展规划和青少年工作方针、政策。对全县青年工作、青少年活动阵地、青少年报刊、青少年服务机构的建设等事务进行规划和管理。</w:t>
      </w:r>
    </w:p>
    <w:p w14:paraId="2361EA42">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3</w:t>
      </w:r>
      <w:r>
        <w:rPr>
          <w:rFonts w:hint="eastAsia" w:ascii="仿宋" w:hAnsi="仿宋" w:eastAsia="仿宋" w:cs="仿宋"/>
          <w:sz w:val="32"/>
          <w:szCs w:val="32"/>
          <w:lang w:eastAsia="zh-CN"/>
        </w:rPr>
        <w:t>）</w:t>
      </w:r>
      <w:r>
        <w:rPr>
          <w:rFonts w:hint="eastAsia" w:ascii="仿宋" w:hAnsi="仿宋" w:eastAsia="仿宋" w:cs="仿宋"/>
          <w:sz w:val="32"/>
          <w:szCs w:val="32"/>
        </w:rPr>
        <w:t>积极维护青少年的利益和合法权益，参与监督青少年法规的执行，协助党和政府处理、协调与青少年利益相关的事务。</w:t>
      </w:r>
    </w:p>
    <w:p w14:paraId="4F67213B">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4</w:t>
      </w:r>
      <w:r>
        <w:rPr>
          <w:rFonts w:hint="eastAsia" w:ascii="仿宋" w:hAnsi="仿宋" w:eastAsia="仿宋" w:cs="仿宋"/>
          <w:sz w:val="32"/>
          <w:szCs w:val="32"/>
          <w:lang w:eastAsia="zh-CN"/>
        </w:rPr>
        <w:t>）</w:t>
      </w:r>
      <w:r>
        <w:rPr>
          <w:rFonts w:hint="eastAsia" w:ascii="仿宋" w:hAnsi="仿宋" w:eastAsia="仿宋" w:cs="仿宋"/>
          <w:sz w:val="32"/>
          <w:szCs w:val="32"/>
        </w:rPr>
        <w:t>调查青少年思想动态和青少年工作情况，研究青少年运动、青少年工作理论和思想教育问题，提出相应的对策。</w:t>
      </w:r>
    </w:p>
    <w:p w14:paraId="5D6FFEBF">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5</w:t>
      </w:r>
      <w:r>
        <w:rPr>
          <w:rFonts w:hint="eastAsia" w:ascii="仿宋" w:hAnsi="仿宋" w:eastAsia="仿宋" w:cs="仿宋"/>
          <w:sz w:val="32"/>
          <w:szCs w:val="32"/>
          <w:lang w:eastAsia="zh-CN"/>
        </w:rPr>
        <w:t>）</w:t>
      </w:r>
      <w:r>
        <w:rPr>
          <w:rFonts w:hint="eastAsia" w:ascii="仿宋" w:hAnsi="仿宋" w:eastAsia="仿宋" w:cs="仿宋"/>
          <w:sz w:val="32"/>
          <w:szCs w:val="32"/>
        </w:rPr>
        <w:t>协助政府教育部门组织中、小学学生开展各具特色的教育和活动，维护学校稳定和社会安定团结。</w:t>
      </w:r>
    </w:p>
    <w:p w14:paraId="0B6B8112">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6</w:t>
      </w:r>
      <w:r>
        <w:rPr>
          <w:rFonts w:hint="eastAsia" w:ascii="仿宋" w:hAnsi="仿宋" w:eastAsia="仿宋" w:cs="仿宋"/>
          <w:sz w:val="32"/>
          <w:szCs w:val="32"/>
          <w:lang w:eastAsia="zh-CN"/>
        </w:rPr>
        <w:t>）</w:t>
      </w:r>
      <w:r>
        <w:rPr>
          <w:rFonts w:hint="eastAsia" w:ascii="仿宋" w:hAnsi="仿宋" w:eastAsia="仿宋" w:cs="仿宋"/>
          <w:sz w:val="32"/>
          <w:szCs w:val="32"/>
        </w:rPr>
        <w:t>组织和带领青年在改革开放和现代化建设中发挥生力军和突击队作用。</w:t>
      </w:r>
    </w:p>
    <w:p w14:paraId="66883C2C">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7</w:t>
      </w:r>
      <w:r>
        <w:rPr>
          <w:rFonts w:hint="eastAsia" w:ascii="仿宋" w:hAnsi="仿宋" w:eastAsia="仿宋" w:cs="仿宋"/>
          <w:sz w:val="32"/>
          <w:szCs w:val="32"/>
          <w:lang w:eastAsia="zh-CN"/>
        </w:rPr>
        <w:t>）</w:t>
      </w:r>
      <w:r>
        <w:rPr>
          <w:rFonts w:hint="eastAsia" w:ascii="仿宋" w:hAnsi="仿宋" w:eastAsia="仿宋" w:cs="仿宋"/>
          <w:sz w:val="32"/>
          <w:szCs w:val="32"/>
        </w:rPr>
        <w:t>负责全县青年统战、民族、宗教工作，做好青年统战对象的团结教育工作，维护、促进祖国统一和民族团结。</w:t>
      </w:r>
    </w:p>
    <w:p w14:paraId="2B6A5DAA">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_GB2312" w:hAnsi="仿宋_GB2312" w:eastAsia="仿宋_GB2312" w:cs="仿宋_GB2312"/>
          <w:b w:val="0"/>
          <w:i w:val="0"/>
          <w:caps w:val="0"/>
          <w:color w:val="auto"/>
          <w:spacing w:val="0"/>
          <w:sz w:val="32"/>
          <w:szCs w:val="32"/>
          <w:u w:val="none"/>
          <w:lang w:val="en-US" w:eastAsia="zh-CN"/>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8</w:t>
      </w:r>
      <w:r>
        <w:rPr>
          <w:rFonts w:hint="eastAsia" w:ascii="仿宋" w:hAnsi="仿宋" w:eastAsia="仿宋" w:cs="仿宋"/>
          <w:sz w:val="32"/>
          <w:szCs w:val="32"/>
          <w:lang w:eastAsia="zh-CN"/>
        </w:rPr>
        <w:t>）</w:t>
      </w:r>
      <w:r>
        <w:rPr>
          <w:rFonts w:hint="eastAsia" w:ascii="仿宋" w:hAnsi="仿宋" w:eastAsia="仿宋" w:cs="仿宋"/>
          <w:sz w:val="32"/>
          <w:szCs w:val="32"/>
        </w:rPr>
        <w:t>承担县委、县政府交办的其他有关事项。</w:t>
      </w:r>
      <w:r>
        <w:rPr>
          <w:rFonts w:hint="eastAsia" w:ascii="仿宋" w:hAnsi="仿宋" w:eastAsia="仿宋" w:cs="仿宋"/>
          <w:sz w:val="32"/>
          <w:szCs w:val="32"/>
          <w:u w:val="none"/>
        </w:rPr>
        <w:t>2、</w:t>
      </w:r>
      <w:r>
        <w:rPr>
          <w:rFonts w:hint="eastAsia" w:ascii="仿宋_GB2312" w:hAnsi="仿宋_GB2312" w:eastAsia="仿宋_GB2312" w:cs="仿宋_GB2312"/>
          <w:b w:val="0"/>
          <w:bCs w:val="0"/>
          <w:sz w:val="32"/>
          <w:szCs w:val="32"/>
          <w:lang w:val="en-US" w:eastAsia="zh-CN"/>
        </w:rPr>
        <w:t>无内设机构。</w:t>
      </w:r>
    </w:p>
    <w:p w14:paraId="466286B6">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、人员情况。编制数</w:t>
      </w:r>
      <w:r>
        <w:rPr>
          <w:rFonts w:hint="eastAsia" w:ascii="仿宋" w:hAnsi="仿宋" w:eastAsia="仿宋" w:cs="仿宋"/>
          <w:sz w:val="32"/>
          <w:szCs w:val="32"/>
          <w:lang w:val="en-US" w:eastAsia="zh-CN"/>
        </w:rPr>
        <w:t>5</w:t>
      </w:r>
      <w:r>
        <w:rPr>
          <w:rFonts w:hint="eastAsia" w:ascii="仿宋" w:hAnsi="仿宋" w:eastAsia="仿宋" w:cs="仿宋"/>
          <w:sz w:val="32"/>
          <w:szCs w:val="32"/>
        </w:rPr>
        <w:t>人，财政供养总人数</w:t>
      </w:r>
      <w:r>
        <w:rPr>
          <w:rFonts w:hint="eastAsia" w:ascii="仿宋" w:hAnsi="仿宋" w:eastAsia="仿宋" w:cs="仿宋"/>
          <w:sz w:val="32"/>
          <w:szCs w:val="32"/>
          <w:lang w:val="en-US" w:eastAsia="zh-CN"/>
        </w:rPr>
        <w:t>5</w:t>
      </w:r>
      <w:r>
        <w:rPr>
          <w:rFonts w:hint="eastAsia" w:ascii="仿宋" w:hAnsi="仿宋" w:eastAsia="仿宋" w:cs="仿宋"/>
          <w:sz w:val="32"/>
          <w:szCs w:val="32"/>
        </w:rPr>
        <w:t>人，</w:t>
      </w:r>
      <w:r>
        <w:rPr>
          <w:rFonts w:hint="eastAsia" w:ascii="仿宋_GB2312" w:hAnsi="仿宋_GB2312" w:eastAsia="仿宋_GB2312" w:cs="仿宋_GB2312"/>
          <w:b w:val="0"/>
          <w:bCs w:val="0"/>
          <w:sz w:val="32"/>
          <w:szCs w:val="32"/>
          <w:lang w:val="en-US" w:eastAsia="zh-CN"/>
        </w:rPr>
        <w:t>其中：正科1人，副科2人，科员2人，</w:t>
      </w:r>
      <w:r>
        <w:rPr>
          <w:rFonts w:hint="eastAsia" w:ascii="仿宋" w:hAnsi="仿宋" w:eastAsia="仿宋" w:cs="仿宋"/>
          <w:sz w:val="32"/>
          <w:szCs w:val="32"/>
        </w:rPr>
        <w:t>遗属</w:t>
      </w:r>
      <w:r>
        <w:rPr>
          <w:rFonts w:hint="eastAsia" w:ascii="仿宋" w:hAnsi="仿宋" w:eastAsia="仿宋" w:cs="仿宋"/>
          <w:sz w:val="32"/>
          <w:szCs w:val="32"/>
          <w:lang w:val="en-US" w:eastAsia="zh-CN"/>
        </w:rPr>
        <w:t>1</w:t>
      </w:r>
      <w:r>
        <w:rPr>
          <w:rFonts w:hint="eastAsia" w:ascii="仿宋" w:hAnsi="仿宋" w:eastAsia="仿宋" w:cs="仿宋"/>
          <w:sz w:val="32"/>
          <w:szCs w:val="32"/>
        </w:rPr>
        <w:t>人。</w:t>
      </w:r>
    </w:p>
    <w:p w14:paraId="069DDB77">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（二）年初财政批复的部门预算整体支出情况</w:t>
      </w:r>
    </w:p>
    <w:p w14:paraId="6C117734">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我单位</w:t>
      </w:r>
      <w:r>
        <w:rPr>
          <w:rFonts w:hint="eastAsia" w:ascii="仿宋" w:hAnsi="仿宋" w:eastAsia="仿宋" w:cs="仿宋"/>
          <w:sz w:val="32"/>
          <w:szCs w:val="32"/>
        </w:rPr>
        <w:t>年初财政批复的整体支出合计：</w:t>
      </w:r>
      <w:r>
        <w:rPr>
          <w:rFonts w:hint="eastAsia" w:ascii="仿宋" w:hAnsi="仿宋" w:eastAsia="仿宋" w:cs="仿宋"/>
          <w:sz w:val="32"/>
          <w:szCs w:val="32"/>
          <w:lang w:val="en-US" w:eastAsia="zh-CN"/>
        </w:rPr>
        <w:t>162.36</w:t>
      </w:r>
      <w:r>
        <w:rPr>
          <w:rFonts w:hint="eastAsia" w:ascii="仿宋" w:hAnsi="仿宋" w:eastAsia="仿宋" w:cs="仿宋"/>
          <w:sz w:val="32"/>
          <w:szCs w:val="32"/>
        </w:rPr>
        <w:t>万元。部门预算基本支出</w:t>
      </w:r>
      <w:r>
        <w:rPr>
          <w:rFonts w:hint="eastAsia" w:ascii="仿宋" w:hAnsi="仿宋" w:eastAsia="仿宋" w:cs="仿宋"/>
          <w:sz w:val="32"/>
          <w:szCs w:val="32"/>
          <w:lang w:val="en-US" w:eastAsia="zh-CN"/>
        </w:rPr>
        <w:t>162.36</w:t>
      </w:r>
      <w:r>
        <w:rPr>
          <w:rFonts w:hint="eastAsia" w:ascii="仿宋" w:hAnsi="仿宋" w:eastAsia="仿宋" w:cs="仿宋"/>
          <w:sz w:val="32"/>
          <w:szCs w:val="32"/>
        </w:rPr>
        <w:t>万元，其中：人员支出</w:t>
      </w:r>
      <w:r>
        <w:rPr>
          <w:rFonts w:hint="eastAsia" w:ascii="仿宋" w:hAnsi="仿宋" w:eastAsia="仿宋" w:cs="仿宋"/>
          <w:sz w:val="32"/>
          <w:szCs w:val="32"/>
          <w:lang w:val="en-US" w:eastAsia="zh-CN"/>
        </w:rPr>
        <w:t>67.02</w:t>
      </w:r>
      <w:r>
        <w:rPr>
          <w:rFonts w:hint="eastAsia" w:ascii="仿宋" w:hAnsi="仿宋" w:eastAsia="仿宋" w:cs="仿宋"/>
          <w:sz w:val="32"/>
          <w:szCs w:val="32"/>
        </w:rPr>
        <w:t>万元；公用支出</w:t>
      </w:r>
      <w:r>
        <w:rPr>
          <w:rFonts w:hint="eastAsia" w:ascii="仿宋" w:hAnsi="仿宋" w:eastAsia="仿宋" w:cs="仿宋"/>
          <w:sz w:val="32"/>
          <w:szCs w:val="32"/>
          <w:lang w:val="en-US" w:eastAsia="zh-CN"/>
        </w:rPr>
        <w:t>5.48</w:t>
      </w:r>
      <w:r>
        <w:rPr>
          <w:rFonts w:hint="eastAsia" w:ascii="仿宋" w:hAnsi="仿宋" w:eastAsia="仿宋" w:cs="仿宋"/>
          <w:sz w:val="32"/>
          <w:szCs w:val="32"/>
        </w:rPr>
        <w:t>万元</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对个人和家庭补助支出0.33</w:t>
      </w:r>
      <w:r>
        <w:rPr>
          <w:rFonts w:hint="eastAsia" w:ascii="仿宋" w:hAnsi="仿宋" w:eastAsia="仿宋" w:cs="仿宋"/>
          <w:sz w:val="32"/>
          <w:szCs w:val="32"/>
        </w:rPr>
        <w:t>万元</w:t>
      </w:r>
      <w:r>
        <w:rPr>
          <w:rFonts w:hint="eastAsia" w:ascii="仿宋" w:hAnsi="仿宋" w:eastAsia="仿宋" w:cs="仿宋"/>
          <w:sz w:val="32"/>
          <w:szCs w:val="32"/>
          <w:lang w:val="en-US" w:eastAsia="zh-CN"/>
        </w:rPr>
        <w:t>.</w:t>
      </w:r>
    </w:p>
    <w:p w14:paraId="69097AA5">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rPr>
      </w:pPr>
      <w:r>
        <w:rPr>
          <w:rFonts w:hint="eastAsia" w:ascii="仿宋" w:hAnsi="仿宋" w:eastAsia="仿宋" w:cs="仿宋"/>
          <w:b/>
          <w:bCs/>
          <w:sz w:val="32"/>
          <w:szCs w:val="32"/>
        </w:rPr>
        <w:t>二、决算整体支出管理及使用情况</w:t>
      </w:r>
    </w:p>
    <w:p w14:paraId="7225073C">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（一）决算基本支出情况</w:t>
      </w:r>
    </w:p>
    <w:p w14:paraId="552DA343">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主要用于在职人员工资福利，保障正常运转的公用支出和业务支出。</w:t>
      </w:r>
    </w:p>
    <w:p w14:paraId="03BB75D3">
      <w:pPr>
        <w:keepNext w:val="0"/>
        <w:keepLines w:val="0"/>
        <w:pageBreakBefore w:val="0"/>
        <w:widowControl/>
        <w:numPr>
          <w:ilvl w:val="0"/>
          <w:numId w:val="3"/>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本单位202</w:t>
      </w:r>
      <w:r>
        <w:rPr>
          <w:rFonts w:hint="eastAsia" w:ascii="仿宋" w:hAnsi="仿宋" w:eastAsia="仿宋" w:cs="仿宋"/>
          <w:sz w:val="32"/>
          <w:szCs w:val="32"/>
          <w:lang w:val="en-US" w:eastAsia="zh-CN"/>
        </w:rPr>
        <w:t>3</w:t>
      </w:r>
      <w:r>
        <w:rPr>
          <w:rFonts w:hint="eastAsia" w:ascii="仿宋" w:hAnsi="仿宋" w:eastAsia="仿宋" w:cs="仿宋"/>
          <w:sz w:val="32"/>
          <w:szCs w:val="32"/>
        </w:rPr>
        <w:t>年度收入预算</w:t>
      </w:r>
      <w:r>
        <w:rPr>
          <w:rFonts w:hint="eastAsia" w:ascii="仿宋" w:hAnsi="仿宋" w:eastAsia="仿宋" w:cs="仿宋"/>
          <w:sz w:val="32"/>
          <w:szCs w:val="32"/>
          <w:lang w:val="en-US" w:eastAsia="zh-CN"/>
        </w:rPr>
        <w:t>162.36</w:t>
      </w:r>
      <w:r>
        <w:rPr>
          <w:rFonts w:hint="eastAsia" w:ascii="仿宋" w:hAnsi="仿宋" w:eastAsia="仿宋" w:cs="仿宋"/>
          <w:sz w:val="32"/>
          <w:szCs w:val="32"/>
        </w:rPr>
        <w:t>万元，</w:t>
      </w:r>
      <w:r>
        <w:rPr>
          <w:rFonts w:hint="eastAsia" w:ascii="仿宋" w:hAnsi="仿宋" w:eastAsia="仿宋" w:cs="仿宋"/>
          <w:sz w:val="32"/>
          <w:szCs w:val="32"/>
          <w:lang w:val="en-US" w:eastAsia="zh-CN"/>
        </w:rPr>
        <w:t>决算整体</w:t>
      </w:r>
      <w:r>
        <w:rPr>
          <w:rFonts w:hint="eastAsia" w:ascii="仿宋" w:hAnsi="仿宋" w:eastAsia="仿宋" w:cs="仿宋"/>
          <w:sz w:val="32"/>
          <w:szCs w:val="32"/>
        </w:rPr>
        <w:t>支出总计</w:t>
      </w:r>
      <w:r>
        <w:rPr>
          <w:rFonts w:hint="eastAsia" w:ascii="仿宋" w:hAnsi="仿宋" w:eastAsia="仿宋" w:cs="仿宋"/>
          <w:sz w:val="32"/>
          <w:szCs w:val="32"/>
          <w:lang w:val="en-US" w:eastAsia="zh-CN"/>
        </w:rPr>
        <w:t>162.36</w:t>
      </w:r>
      <w:r>
        <w:rPr>
          <w:rFonts w:hint="eastAsia" w:ascii="仿宋" w:hAnsi="仿宋" w:eastAsia="仿宋" w:cs="仿宋"/>
          <w:sz w:val="32"/>
          <w:szCs w:val="32"/>
        </w:rPr>
        <w:t>万元。</w:t>
      </w:r>
    </w:p>
    <w:p w14:paraId="5E7905A6">
      <w:pPr>
        <w:keepNext w:val="0"/>
        <w:keepLines w:val="0"/>
        <w:pageBreakBefore w:val="0"/>
        <w:widowControl/>
        <w:numPr>
          <w:ilvl w:val="0"/>
          <w:numId w:val="0"/>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2、“三公经费“执行情况：202</w:t>
      </w:r>
      <w:r>
        <w:rPr>
          <w:rFonts w:hint="eastAsia" w:ascii="仿宋" w:hAnsi="仿宋" w:eastAsia="仿宋" w:cs="仿宋"/>
          <w:sz w:val="32"/>
          <w:szCs w:val="32"/>
          <w:lang w:val="en-US" w:eastAsia="zh-CN"/>
        </w:rPr>
        <w:t>3</w:t>
      </w:r>
      <w:r>
        <w:rPr>
          <w:rFonts w:hint="eastAsia" w:ascii="仿宋" w:hAnsi="仿宋" w:eastAsia="仿宋" w:cs="仿宋"/>
          <w:sz w:val="32"/>
          <w:szCs w:val="32"/>
        </w:rPr>
        <w:t>年度“三公”经费财政拨款支出决算</w:t>
      </w:r>
      <w:r>
        <w:rPr>
          <w:rFonts w:hint="eastAsia" w:ascii="仿宋" w:hAnsi="仿宋" w:eastAsia="仿宋" w:cs="仿宋"/>
          <w:sz w:val="32"/>
          <w:szCs w:val="32"/>
          <w:lang w:val="en-US" w:eastAsia="zh-CN"/>
        </w:rPr>
        <w:t>0</w:t>
      </w:r>
      <w:r>
        <w:rPr>
          <w:rFonts w:hint="eastAsia" w:ascii="仿宋" w:hAnsi="仿宋" w:eastAsia="仿宋" w:cs="仿宋"/>
          <w:sz w:val="32"/>
          <w:szCs w:val="32"/>
        </w:rPr>
        <w:t>万元，其中因公出国（境）费支出决算0万元，占0%；公务用车购置及运行维护费支出决算0万元，占0%；公务接待费支出决算</w:t>
      </w:r>
      <w:r>
        <w:rPr>
          <w:rFonts w:hint="eastAsia" w:ascii="仿宋" w:hAnsi="仿宋" w:eastAsia="仿宋" w:cs="仿宋"/>
          <w:sz w:val="32"/>
          <w:szCs w:val="32"/>
          <w:lang w:val="en-US" w:eastAsia="zh-CN"/>
        </w:rPr>
        <w:t>0</w:t>
      </w:r>
      <w:r>
        <w:rPr>
          <w:rFonts w:hint="eastAsia" w:ascii="仿宋" w:hAnsi="仿宋" w:eastAsia="仿宋" w:cs="仿宋"/>
          <w:sz w:val="32"/>
          <w:szCs w:val="32"/>
        </w:rPr>
        <w:t>万元</w:t>
      </w:r>
      <w:r>
        <w:rPr>
          <w:rFonts w:hint="eastAsia" w:ascii="仿宋" w:hAnsi="仿宋" w:eastAsia="仿宋" w:cs="仿宋"/>
          <w:sz w:val="32"/>
          <w:szCs w:val="32"/>
          <w:lang w:val="en-US" w:eastAsia="zh-CN"/>
        </w:rPr>
        <w:t>.</w:t>
      </w:r>
    </w:p>
    <w:p w14:paraId="6C4336C6">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（二）项目支出</w:t>
      </w:r>
    </w:p>
    <w:p w14:paraId="544C7D5E">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
        </w:rPr>
      </w:pPr>
      <w:r>
        <w:rPr>
          <w:rFonts w:hint="eastAsia" w:ascii="仿宋" w:hAnsi="仿宋" w:eastAsia="仿宋" w:cs="仿宋"/>
          <w:sz w:val="32"/>
          <w:szCs w:val="32"/>
          <w:lang w:val="en"/>
        </w:rPr>
        <w:t>202</w:t>
      </w:r>
      <w:r>
        <w:rPr>
          <w:rFonts w:hint="eastAsia" w:ascii="仿宋" w:hAnsi="仿宋" w:eastAsia="仿宋" w:cs="仿宋"/>
          <w:sz w:val="32"/>
          <w:szCs w:val="32"/>
          <w:lang w:val="en-US" w:eastAsia="zh-CN"/>
        </w:rPr>
        <w:t>3</w:t>
      </w:r>
      <w:r>
        <w:rPr>
          <w:rFonts w:hint="eastAsia" w:ascii="仿宋" w:hAnsi="仿宋" w:eastAsia="仿宋" w:cs="仿宋"/>
          <w:sz w:val="32"/>
          <w:szCs w:val="32"/>
          <w:lang w:val="en"/>
        </w:rPr>
        <w:t>年，本</w:t>
      </w:r>
      <w:r>
        <w:rPr>
          <w:rFonts w:hint="eastAsia" w:ascii="仿宋" w:hAnsi="仿宋" w:eastAsia="仿宋" w:cs="仿宋"/>
          <w:sz w:val="32"/>
          <w:szCs w:val="32"/>
          <w:lang w:val="en-US" w:eastAsia="zh-CN"/>
        </w:rPr>
        <w:t>单位</w:t>
      </w:r>
      <w:r>
        <w:rPr>
          <w:rFonts w:hint="eastAsia" w:ascii="仿宋" w:hAnsi="仿宋" w:eastAsia="仿宋" w:cs="仿宋"/>
          <w:sz w:val="32"/>
          <w:szCs w:val="32"/>
          <w:lang w:val="en"/>
        </w:rPr>
        <w:t>财政拨款</w:t>
      </w:r>
      <w:r>
        <w:rPr>
          <w:rFonts w:hint="eastAsia" w:ascii="仿宋" w:hAnsi="仿宋" w:eastAsia="仿宋" w:cs="仿宋"/>
          <w:b w:val="0"/>
          <w:bCs w:val="0"/>
          <w:sz w:val="32"/>
          <w:szCs w:val="32"/>
          <w:lang w:val="en-US" w:eastAsia="zh-CN"/>
        </w:rPr>
        <w:t>支付项目</w:t>
      </w:r>
      <w:r>
        <w:rPr>
          <w:rFonts w:hint="eastAsia" w:ascii="仿宋" w:hAnsi="仿宋" w:eastAsia="仿宋" w:cs="仿宋"/>
          <w:sz w:val="32"/>
          <w:szCs w:val="32"/>
          <w:lang w:val="en-US" w:eastAsia="zh-CN"/>
        </w:rPr>
        <w:t>1</w:t>
      </w:r>
      <w:r>
        <w:rPr>
          <w:rFonts w:hint="eastAsia" w:ascii="仿宋" w:hAnsi="仿宋" w:eastAsia="仿宋" w:cs="仿宋"/>
          <w:sz w:val="32"/>
          <w:szCs w:val="32"/>
          <w:lang w:val="en"/>
        </w:rPr>
        <w:t>个，全年支出</w:t>
      </w:r>
      <w:r>
        <w:rPr>
          <w:rFonts w:hint="eastAsia" w:ascii="仿宋" w:hAnsi="仿宋" w:eastAsia="仿宋" w:cs="仿宋"/>
          <w:sz w:val="32"/>
          <w:szCs w:val="32"/>
          <w:lang w:val="en-US" w:eastAsia="zh-CN"/>
        </w:rPr>
        <w:t>20</w:t>
      </w:r>
      <w:r>
        <w:rPr>
          <w:rFonts w:hint="eastAsia" w:ascii="仿宋" w:hAnsi="仿宋" w:eastAsia="仿宋" w:cs="仿宋"/>
          <w:sz w:val="32"/>
          <w:szCs w:val="32"/>
        </w:rPr>
        <w:t>万</w:t>
      </w:r>
      <w:r>
        <w:rPr>
          <w:rFonts w:hint="eastAsia" w:ascii="仿宋" w:hAnsi="仿宋" w:eastAsia="仿宋" w:cs="仿宋"/>
          <w:sz w:val="32"/>
          <w:szCs w:val="32"/>
          <w:lang w:val="en"/>
        </w:rPr>
        <w:t>元，执行率</w:t>
      </w:r>
      <w:r>
        <w:rPr>
          <w:rFonts w:hint="eastAsia" w:ascii="仿宋" w:hAnsi="仿宋" w:eastAsia="仿宋" w:cs="仿宋"/>
          <w:sz w:val="32"/>
          <w:szCs w:val="32"/>
          <w:lang w:val="en-US" w:eastAsia="zh-CN"/>
        </w:rPr>
        <w:t>100</w:t>
      </w:r>
      <w:r>
        <w:rPr>
          <w:rFonts w:hint="eastAsia" w:ascii="仿宋" w:hAnsi="仿宋" w:eastAsia="仿宋" w:cs="仿宋"/>
          <w:sz w:val="32"/>
          <w:szCs w:val="32"/>
          <w:lang w:val="en"/>
        </w:rPr>
        <w:t>%。通过自评项目结果为“</w:t>
      </w:r>
      <w:r>
        <w:rPr>
          <w:rFonts w:hint="eastAsia" w:ascii="仿宋" w:hAnsi="仿宋" w:eastAsia="仿宋" w:cs="仿宋"/>
          <w:sz w:val="32"/>
          <w:szCs w:val="32"/>
          <w:lang w:val="en-US" w:eastAsia="zh-CN"/>
        </w:rPr>
        <w:t>优</w:t>
      </w:r>
      <w:r>
        <w:rPr>
          <w:rFonts w:hint="eastAsia" w:ascii="仿宋" w:hAnsi="仿宋" w:eastAsia="仿宋" w:cs="仿宋"/>
          <w:sz w:val="32"/>
          <w:szCs w:val="32"/>
          <w:lang w:val="en"/>
        </w:rPr>
        <w:t>”。项目自评情况分析如下：</w:t>
      </w:r>
    </w:p>
    <w:p w14:paraId="18310E49">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lang w:val="en-US"/>
        </w:rPr>
      </w:pPr>
      <w:r>
        <w:rPr>
          <w:rFonts w:hint="eastAsia" w:ascii="仿宋" w:hAnsi="仿宋" w:eastAsia="仿宋" w:cs="仿宋"/>
          <w:b/>
          <w:bCs/>
          <w:sz w:val="32"/>
          <w:szCs w:val="32"/>
          <w:lang w:val="en-US" w:eastAsia="zh-CN"/>
        </w:rPr>
        <w:t>乡村振兴青年人才培训项目项目经费</w:t>
      </w:r>
    </w:p>
    <w:p w14:paraId="7DBCC544">
      <w:pPr>
        <w:keepNext w:val="0"/>
        <w:keepLines w:val="0"/>
        <w:pageBreakBefore w:val="0"/>
        <w:widowControl/>
        <w:numPr>
          <w:ilvl w:val="0"/>
          <w:numId w:val="0"/>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w:t>
      </w:r>
      <w:r>
        <w:rPr>
          <w:rFonts w:hint="eastAsia" w:ascii="仿宋" w:hAnsi="仿宋" w:eastAsia="仿宋" w:cs="仿宋"/>
          <w:sz w:val="32"/>
          <w:szCs w:val="32"/>
          <w:lang w:val="en"/>
        </w:rPr>
        <w:t>项目支出预算执行情况</w:t>
      </w:r>
      <w:r>
        <w:rPr>
          <w:rFonts w:hint="eastAsia" w:ascii="仿宋" w:hAnsi="仿宋" w:eastAsia="仿宋" w:cs="仿宋"/>
          <w:sz w:val="32"/>
          <w:szCs w:val="32"/>
          <w:lang w:val="en" w:eastAsia="zh-CN"/>
        </w:rPr>
        <w:t>：</w:t>
      </w:r>
      <w:r>
        <w:rPr>
          <w:rFonts w:hint="eastAsia" w:ascii="仿宋" w:hAnsi="仿宋" w:eastAsia="仿宋" w:cs="仿宋"/>
          <w:sz w:val="32"/>
          <w:szCs w:val="32"/>
          <w:lang w:val="en-US" w:eastAsia="zh-CN"/>
        </w:rPr>
        <w:t>本年预算收入20万元，支出20元，完成率100%。</w:t>
      </w:r>
    </w:p>
    <w:p w14:paraId="62162B55">
      <w:pPr>
        <w:keepNext w:val="0"/>
        <w:keepLines w:val="0"/>
        <w:pageBreakBefore w:val="0"/>
        <w:widowControl/>
        <w:numPr>
          <w:ilvl w:val="0"/>
          <w:numId w:val="0"/>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
        </w:rPr>
      </w:pPr>
      <w:r>
        <w:rPr>
          <w:rFonts w:hint="eastAsia" w:ascii="仿宋" w:hAnsi="仿宋" w:eastAsia="仿宋" w:cs="仿宋"/>
          <w:sz w:val="32"/>
          <w:szCs w:val="32"/>
          <w:lang w:val="en"/>
        </w:rPr>
        <w:t>2</w:t>
      </w:r>
      <w:r>
        <w:rPr>
          <w:rFonts w:hint="eastAsia" w:ascii="仿宋" w:hAnsi="仿宋" w:eastAsia="仿宋" w:cs="仿宋"/>
          <w:sz w:val="32"/>
          <w:szCs w:val="32"/>
          <w:lang w:val="en" w:eastAsia="zh-CN"/>
        </w:rPr>
        <w:t>、</w:t>
      </w:r>
      <w:r>
        <w:rPr>
          <w:rFonts w:hint="eastAsia" w:ascii="仿宋" w:hAnsi="仿宋" w:eastAsia="仿宋" w:cs="仿宋"/>
          <w:sz w:val="32"/>
          <w:szCs w:val="32"/>
          <w:lang w:val="en"/>
        </w:rPr>
        <w:t>总体绩效目标完成情况分析</w:t>
      </w:r>
    </w:p>
    <w:p w14:paraId="14EAD73A">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年初目标：采取“理论教学+交流研讨+实地观摩”相结合的方式，组织全县50名驻村工作队员、村干部、企业法人等赴天津市开展为期9天的乡村振兴学习观摩培训。</w:t>
      </w:r>
    </w:p>
    <w:p w14:paraId="36668853">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实际完成情况：全年度较好的完成了资金使用率。</w:t>
      </w:r>
    </w:p>
    <w:p w14:paraId="127E0260">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
        </w:rPr>
        <w:t>3</w:t>
      </w:r>
      <w:r>
        <w:rPr>
          <w:rFonts w:hint="eastAsia" w:ascii="仿宋" w:hAnsi="仿宋" w:eastAsia="仿宋" w:cs="仿宋"/>
          <w:sz w:val="32"/>
          <w:szCs w:val="32"/>
          <w:lang w:val="en" w:eastAsia="zh-CN"/>
        </w:rPr>
        <w:t>、</w:t>
      </w:r>
      <w:r>
        <w:rPr>
          <w:rFonts w:hint="eastAsia" w:ascii="仿宋" w:hAnsi="仿宋" w:eastAsia="仿宋" w:cs="仿宋"/>
          <w:sz w:val="32"/>
          <w:szCs w:val="32"/>
          <w:lang w:val="en"/>
        </w:rPr>
        <w:t>各项指标完成情况</w:t>
      </w:r>
    </w:p>
    <w:p w14:paraId="7326B15F">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
        </w:rPr>
        <w:t>数量指标：</w:t>
      </w:r>
      <w:r>
        <w:rPr>
          <w:rFonts w:hint="eastAsia" w:ascii="仿宋" w:hAnsi="仿宋" w:eastAsia="仿宋" w:cs="仿宋"/>
          <w:sz w:val="32"/>
          <w:szCs w:val="32"/>
          <w:lang w:val="en-US" w:eastAsia="zh-CN"/>
        </w:rPr>
        <w:t>完成培训任务。</w:t>
      </w:r>
    </w:p>
    <w:p w14:paraId="34C80BC1">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
        </w:rPr>
      </w:pPr>
      <w:r>
        <w:rPr>
          <w:rFonts w:hint="eastAsia" w:ascii="仿宋" w:hAnsi="仿宋" w:eastAsia="仿宋" w:cs="仿宋"/>
          <w:sz w:val="32"/>
          <w:szCs w:val="32"/>
          <w:lang w:val="en"/>
        </w:rPr>
        <w:t>质量指标：</w:t>
      </w:r>
      <w:r>
        <w:rPr>
          <w:rFonts w:hint="eastAsia" w:ascii="仿宋" w:hAnsi="仿宋" w:eastAsia="仿宋" w:cs="仿宋"/>
          <w:sz w:val="32"/>
          <w:szCs w:val="32"/>
          <w:lang w:val="en-US" w:eastAsia="zh-CN"/>
        </w:rPr>
        <w:t>保质保量完成了各级任务考核达标。</w:t>
      </w:r>
    </w:p>
    <w:p w14:paraId="0951FE19">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
        </w:rPr>
        <w:t>时效指标：</w:t>
      </w:r>
      <w:r>
        <w:rPr>
          <w:rFonts w:hint="eastAsia" w:ascii="仿宋" w:hAnsi="仿宋" w:eastAsia="仿宋" w:cs="仿宋"/>
          <w:sz w:val="32"/>
          <w:szCs w:val="32"/>
          <w:lang w:val="en-US" w:eastAsia="zh-CN"/>
        </w:rPr>
        <w:t>项目资金对接落实及时。</w:t>
      </w:r>
    </w:p>
    <w:p w14:paraId="36F76BD4">
      <w:pPr>
        <w:keepNext w:val="0"/>
        <w:keepLines w:val="0"/>
        <w:pageBreakBefore w:val="0"/>
        <w:widowControl/>
        <w:numPr>
          <w:ilvl w:val="0"/>
          <w:numId w:val="0"/>
        </w:numPr>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经济效益指标：确保资金用到实处。</w:t>
      </w:r>
    </w:p>
    <w:p w14:paraId="47BCA254">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
        </w:rPr>
        <w:t>服务对象满意度指标</w:t>
      </w:r>
      <w:r>
        <w:rPr>
          <w:rFonts w:hint="eastAsia" w:ascii="仿宋" w:hAnsi="仿宋" w:eastAsia="仿宋" w:cs="仿宋"/>
          <w:sz w:val="32"/>
          <w:szCs w:val="32"/>
          <w:lang w:val="en" w:eastAsia="zh-CN"/>
        </w:rPr>
        <w:t>：</w:t>
      </w:r>
      <w:r>
        <w:rPr>
          <w:rFonts w:hint="eastAsia" w:ascii="仿宋" w:hAnsi="仿宋" w:eastAsia="仿宋" w:cs="仿宋"/>
          <w:sz w:val="32"/>
          <w:szCs w:val="32"/>
          <w:lang w:val="en"/>
        </w:rPr>
        <w:t>服务对象满意度</w:t>
      </w:r>
      <w:r>
        <w:rPr>
          <w:rFonts w:hint="eastAsia" w:ascii="仿宋" w:hAnsi="仿宋" w:eastAsia="仿宋" w:cs="仿宋"/>
          <w:sz w:val="32"/>
          <w:szCs w:val="32"/>
          <w:lang w:val="en-US" w:eastAsia="zh-CN"/>
        </w:rPr>
        <w:t>提高。</w:t>
      </w:r>
    </w:p>
    <w:p w14:paraId="13A77917">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rPr>
      </w:pPr>
      <w:r>
        <w:rPr>
          <w:rFonts w:hint="eastAsia" w:ascii="仿宋" w:hAnsi="仿宋" w:eastAsia="仿宋" w:cs="仿宋"/>
          <w:b/>
          <w:bCs/>
          <w:sz w:val="32"/>
          <w:szCs w:val="32"/>
        </w:rPr>
        <w:t>三、绩效评价工作情况</w:t>
      </w:r>
    </w:p>
    <w:p w14:paraId="334B5067">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为进一步加强部门责任意识，强化财政支出绩效理念，规范财政资金管理，提高资金使用绩效，根据绩效评价的相关要求，我单位成立了主要负责人为组长，分管领导为副组长的财政资金绩效评价工作小组，并安排专人做好项目绩效评价工作。通过查阅项目、财务资料，采取自评方式开展绩效评价。</w:t>
      </w:r>
    </w:p>
    <w:p w14:paraId="20FEF2FC">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rPr>
      </w:pPr>
      <w:r>
        <w:rPr>
          <w:rFonts w:hint="eastAsia" w:ascii="仿宋" w:hAnsi="仿宋" w:eastAsia="仿宋" w:cs="仿宋"/>
          <w:b/>
          <w:bCs/>
          <w:sz w:val="32"/>
          <w:szCs w:val="32"/>
        </w:rPr>
        <w:t>四、综合评价结果</w:t>
      </w:r>
    </w:p>
    <w:p w14:paraId="5AC32505">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根据《部门整体支出绩效评价指标》评分，得分9</w:t>
      </w:r>
      <w:r>
        <w:rPr>
          <w:rFonts w:hint="eastAsia" w:ascii="仿宋" w:hAnsi="仿宋" w:eastAsia="仿宋" w:cs="仿宋"/>
          <w:sz w:val="32"/>
          <w:szCs w:val="32"/>
          <w:lang w:val="en-US" w:eastAsia="zh-CN"/>
        </w:rPr>
        <w:t>4</w:t>
      </w:r>
      <w:r>
        <w:rPr>
          <w:rFonts w:hint="eastAsia" w:ascii="仿宋" w:hAnsi="仿宋" w:eastAsia="仿宋" w:cs="仿宋"/>
          <w:sz w:val="32"/>
          <w:szCs w:val="32"/>
        </w:rPr>
        <w:t>分，绩效评价等级为“优”。</w:t>
      </w:r>
    </w:p>
    <w:p w14:paraId="3AE058C8">
      <w:pPr>
        <w:keepNext w:val="0"/>
        <w:keepLines w:val="0"/>
        <w:pageBreakBefore w:val="0"/>
        <w:widowControl/>
        <w:kinsoku/>
        <w:wordWrap/>
        <w:overflowPunct/>
        <w:topLinePunct w:val="0"/>
        <w:autoSpaceDE/>
        <w:autoSpaceDN/>
        <w:bidi w:val="0"/>
        <w:adjustRightInd/>
        <w:snapToGrid w:val="0"/>
        <w:spacing w:before="0" w:after="0" w:line="560" w:lineRule="exact"/>
        <w:ind w:firstLine="643" w:firstLineChars="200"/>
        <w:textAlignment w:val="auto"/>
        <w:rPr>
          <w:rFonts w:hint="eastAsia" w:ascii="仿宋" w:hAnsi="仿宋" w:eastAsia="仿宋" w:cs="仿宋"/>
          <w:b/>
          <w:bCs/>
          <w:sz w:val="32"/>
          <w:szCs w:val="32"/>
        </w:rPr>
      </w:pPr>
      <w:r>
        <w:rPr>
          <w:rFonts w:hint="eastAsia" w:ascii="仿宋" w:hAnsi="仿宋" w:eastAsia="仿宋" w:cs="仿宋"/>
          <w:b/>
          <w:bCs/>
          <w:sz w:val="32"/>
          <w:szCs w:val="32"/>
        </w:rPr>
        <w:t>五、存在的主要问题及原因分析</w:t>
      </w:r>
    </w:p>
    <w:p w14:paraId="01F63C23">
      <w:pPr>
        <w:keepNext w:val="0"/>
        <w:keepLines w:val="0"/>
        <w:pageBreakBefore w:val="0"/>
        <w:widowControl/>
        <w:kinsoku/>
        <w:wordWrap/>
        <w:overflowPunct/>
        <w:topLinePunct w:val="0"/>
        <w:autoSpaceDE/>
        <w:autoSpaceDN/>
        <w:bidi w:val="0"/>
        <w:adjustRightInd/>
        <w:snapToGrid w:val="0"/>
        <w:spacing w:before="0" w:after="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一是预算编制不够细化。致使预算编制不完整，预算执行困难；二是财政预算支出结构严重不合理。应由政府承担的一些社会公共需要却无力保障；三是上级补助下达滞后，导致项目预算编制不全面，年初预算与决算数差异较大。</w:t>
      </w:r>
    </w:p>
    <w:p w14:paraId="2408C2AF">
      <w:pPr>
        <w:keepNext w:val="0"/>
        <w:keepLines w:val="0"/>
        <w:pageBreakBefore w:val="0"/>
        <w:widowControl/>
        <w:kinsoku/>
        <w:wordWrap/>
        <w:overflowPunct/>
        <w:topLinePunct w:val="0"/>
        <w:autoSpaceDE/>
        <w:autoSpaceDN/>
        <w:bidi w:val="0"/>
        <w:adjustRightInd/>
        <w:snapToGrid w:val="0"/>
        <w:spacing w:line="560" w:lineRule="exact"/>
        <w:ind w:firstLine="640" w:firstLineChars="200"/>
        <w:textAlignment w:val="auto"/>
        <w:rPr>
          <w:sz w:val="32"/>
          <w:szCs w:val="32"/>
        </w:rPr>
      </w:pPr>
      <w:r>
        <w:rPr>
          <w:rFonts w:hint="eastAsia" w:ascii="仿宋" w:hAnsi="仿宋" w:eastAsia="仿宋" w:cs="仿宋"/>
          <w:sz w:val="32"/>
          <w:szCs w:val="32"/>
        </w:rPr>
        <w:t>产生上述问题的原因：一是县级财力有限，财政预算安排吃紧，部分刚性支出得不到应有保障，预算调整较频繁；二是上级专项补助下达滞后，财政预算安排迟缓，受财力影响，资金调度不及时，预算执行困难加大。</w:t>
      </w:r>
    </w:p>
    <w:p w14:paraId="390E2262">
      <w:pPr>
        <w:keepNext w:val="0"/>
        <w:keepLines w:val="0"/>
        <w:pageBreakBefore w:val="0"/>
        <w:widowControl/>
        <w:tabs>
          <w:tab w:val="left" w:pos="8578"/>
        </w:tabs>
        <w:kinsoku/>
        <w:wordWrap/>
        <w:overflowPunct/>
        <w:topLinePunct w:val="0"/>
        <w:autoSpaceDE/>
        <w:autoSpaceDN/>
        <w:bidi w:val="0"/>
        <w:adjustRightInd/>
        <w:snapToGrid w:val="0"/>
        <w:spacing w:before="0" w:after="0" w:line="560" w:lineRule="exact"/>
        <w:ind w:firstLine="2880" w:firstLineChars="900"/>
        <w:jc w:val="left"/>
        <w:textAlignment w:val="auto"/>
        <w:rPr>
          <w:rFonts w:hint="eastAsia" w:ascii="仿宋_GB2312" w:hAnsi="仿宋_GB2312" w:eastAsia="仿宋_GB2312" w:cs="仿宋_GB2312"/>
          <w:sz w:val="32"/>
          <w:szCs w:val="32"/>
          <w:lang w:val="ru-RU" w:eastAsia="zh-CN"/>
        </w:rPr>
      </w:pPr>
    </w:p>
    <w:p w14:paraId="1FD222D6">
      <w:pPr>
        <w:keepNext w:val="0"/>
        <w:keepLines w:val="0"/>
        <w:pageBreakBefore w:val="0"/>
        <w:widowControl/>
        <w:tabs>
          <w:tab w:val="left" w:pos="8578"/>
        </w:tabs>
        <w:kinsoku/>
        <w:wordWrap/>
        <w:overflowPunct/>
        <w:topLinePunct w:val="0"/>
        <w:autoSpaceDE/>
        <w:autoSpaceDN/>
        <w:bidi w:val="0"/>
        <w:adjustRightInd/>
        <w:snapToGrid w:val="0"/>
        <w:spacing w:before="0" w:after="0" w:line="560" w:lineRule="exact"/>
        <w:ind w:firstLine="2880" w:firstLineChars="900"/>
        <w:jc w:val="left"/>
        <w:textAlignment w:val="auto"/>
        <w:rPr>
          <w:rFonts w:hint="eastAsia" w:ascii="仿宋_GB2312" w:hAnsi="仿宋_GB2312" w:eastAsia="仿宋_GB2312" w:cs="仿宋_GB2312"/>
          <w:sz w:val="32"/>
          <w:szCs w:val="32"/>
          <w:lang w:val="ru-RU" w:eastAsia="zh-CN"/>
        </w:rPr>
      </w:pPr>
    </w:p>
    <w:p w14:paraId="3AE0D78F">
      <w:pPr>
        <w:keepNext w:val="0"/>
        <w:keepLines w:val="0"/>
        <w:pageBreakBefore w:val="0"/>
        <w:widowControl/>
        <w:tabs>
          <w:tab w:val="left" w:pos="8578"/>
        </w:tabs>
        <w:kinsoku/>
        <w:wordWrap/>
        <w:overflowPunct/>
        <w:topLinePunct w:val="0"/>
        <w:autoSpaceDE/>
        <w:autoSpaceDN/>
        <w:bidi w:val="0"/>
        <w:adjustRightInd/>
        <w:snapToGrid w:val="0"/>
        <w:spacing w:before="0" w:after="0" w:line="560" w:lineRule="exact"/>
        <w:ind w:firstLine="3840" w:firstLineChars="1200"/>
        <w:jc w:val="left"/>
        <w:textAlignment w:val="auto"/>
        <w:rPr>
          <w:rFonts w:hint="eastAsia" w:ascii="仿宋_GB2312" w:hAnsi="仿宋_GB2312" w:eastAsia="仿宋_GB2312" w:cs="仿宋_GB2312"/>
          <w:sz w:val="32"/>
          <w:szCs w:val="32"/>
          <w:lang w:val="ru-RU" w:eastAsia="zh-CN"/>
        </w:rPr>
      </w:pPr>
      <w:r>
        <w:rPr>
          <w:rFonts w:hint="eastAsia" w:ascii="仿宋_GB2312" w:hAnsi="仿宋_GB2312" w:eastAsia="仿宋_GB2312" w:cs="仿宋_GB2312"/>
          <w:sz w:val="32"/>
          <w:szCs w:val="32"/>
          <w:lang w:val="ru-RU" w:eastAsia="zh-CN"/>
        </w:rPr>
        <w:t>共青团华池县委</w:t>
      </w:r>
    </w:p>
    <w:p w14:paraId="31DF8623">
      <w:pPr>
        <w:pStyle w:val="2"/>
        <w:ind w:firstLine="3840" w:firstLineChars="1200"/>
        <w:rPr>
          <w:rFonts w:hint="default"/>
          <w:lang w:val="en-US" w:eastAsia="zh-CN"/>
        </w:rPr>
      </w:pPr>
      <w:r>
        <w:rPr>
          <w:rFonts w:hint="eastAsia" w:ascii="仿宋_GB2312" w:hAnsi="仿宋_GB2312" w:eastAsia="仿宋_GB2312" w:cs="仿宋_GB2312"/>
          <w:sz w:val="32"/>
          <w:szCs w:val="32"/>
          <w:lang w:val="en-US" w:eastAsia="zh-CN"/>
        </w:rPr>
        <w:t>2024年4月22日</w:t>
      </w:r>
    </w:p>
    <w:sectPr>
      <w:pgSz w:w="11900" w:h="16820"/>
      <w:pgMar w:top="1440" w:right="1800" w:bottom="1440" w:left="180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embedRegular r:id="rId1" w:fontKey="{B377977D-7B1B-45AF-92B5-36CC9B20A2C0}"/>
  </w:font>
  <w:font w:name="宋体">
    <w:panose1 w:val="02010600030101010101"/>
    <w:charset w:val="7A"/>
    <w:family w:val="auto"/>
    <w:pitch w:val="default"/>
    <w:sig w:usb0="00000003" w:usb1="288F0000" w:usb2="00000006" w:usb3="00000000" w:csb0="00040001" w:csb1="00000000"/>
    <w:embedRegular r:id="rId2" w:fontKey="{45AA787B-E6BA-4DC8-BD50-87C2C1DDEBFB}"/>
  </w:font>
  <w:font w:name="Wingdings">
    <w:panose1 w:val="05000000000000000000"/>
    <w:charset w:val="02"/>
    <w:family w:val="auto"/>
    <w:pitch w:val="default"/>
    <w:sig w:usb0="00000000" w:usb1="00000000" w:usb2="00000000" w:usb3="00000000" w:csb0="80000000" w:csb1="00000000"/>
    <w:embedRegular r:id="rId3" w:fontKey="{CCF55A19-A16B-42E3-9155-387862BB598D}"/>
  </w:font>
  <w:font w:name="Arial">
    <w:panose1 w:val="020B0604020202020204"/>
    <w:charset w:val="01"/>
    <w:family w:val="swiss"/>
    <w:pitch w:val="default"/>
    <w:sig w:usb0="E0002AFF" w:usb1="C0007843" w:usb2="00000009" w:usb3="00000000" w:csb0="400001FF" w:csb1="FFFF0000"/>
    <w:embedRegular r:id="rId4" w:fontKey="{AAF09DB2-7D27-4AA4-B694-240E85EF29A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3251B212-7E48-43A3-8F68-615AC265F62B}"/>
  </w:font>
  <w:font w:name="Symbol">
    <w:panose1 w:val="05050102010706020507"/>
    <w:charset w:val="02"/>
    <w:family w:val="roman"/>
    <w:pitch w:val="default"/>
    <w:sig w:usb0="00000000" w:usb1="00000000" w:usb2="00000000" w:usb3="00000000" w:csb0="80000000" w:csb1="00000000"/>
    <w:embedRegular r:id="rId6" w:fontKey="{1BD1A507-4338-4B4E-80B1-BD40E80D0D52}"/>
  </w:font>
  <w:font w:name="Calibri">
    <w:panose1 w:val="020F0502020204030204"/>
    <w:charset w:val="00"/>
    <w:family w:val="swiss"/>
    <w:pitch w:val="default"/>
    <w:sig w:usb0="E00002FF" w:usb1="4000ACFF" w:usb2="00000001" w:usb3="00000000" w:csb0="2000019F" w:csb1="00000000"/>
    <w:embedRegular r:id="rId7" w:fontKey="{16CF8A2C-12E4-4E71-A99E-3E48B4B17F29}"/>
  </w:font>
  <w:font w:name="仿宋_GB2312">
    <w:panose1 w:val="02010609030101010101"/>
    <w:charset w:val="86"/>
    <w:family w:val="modern"/>
    <w:pitch w:val="default"/>
    <w:sig w:usb0="00000001" w:usb1="080E0000" w:usb2="00000000" w:usb3="00000000" w:csb0="00040000" w:csb1="00000000"/>
    <w:embedRegular r:id="rId8" w:fontKey="{BE20079E-8A77-4913-BD9E-2151A56DA48D}"/>
  </w:font>
  <w:font w:name="方正小标宋简体">
    <w:panose1 w:val="03000509000000000000"/>
    <w:charset w:val="86"/>
    <w:family w:val="auto"/>
    <w:pitch w:val="default"/>
    <w:sig w:usb0="00000001" w:usb1="080E0000" w:usb2="00000000" w:usb3="00000000" w:csb0="00040000" w:csb1="00000000"/>
    <w:embedRegular r:id="rId9" w:fontKey="{0564E653-E481-49A2-9915-B67FC5DFA20D}"/>
  </w:font>
  <w:font w:name="仿宋">
    <w:panose1 w:val="02010609060101010101"/>
    <w:charset w:val="86"/>
    <w:family w:val="decorative"/>
    <w:pitch w:val="default"/>
    <w:sig w:usb0="800002BF" w:usb1="38CF7CFA" w:usb2="00000016" w:usb3="00000000" w:csb0="00040001" w:csb1="00000000"/>
    <w:embedRegular r:id="rId10" w:fontKey="{07BD6DB6-614A-486B-AE20-33ACA821B8D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AC72568"/>
    <w:multiLevelType w:val="singleLevel"/>
    <w:tmpl w:val="BAC72568"/>
    <w:lvl w:ilvl="0" w:tentative="0">
      <w:start w:val="1"/>
      <w:numFmt w:val="decimal"/>
      <w:suff w:val="nothing"/>
      <w:lvlText w:val="%1、"/>
      <w:lvlJc w:val="left"/>
    </w:lvl>
  </w:abstractNum>
  <w:abstractNum w:abstractNumId="1">
    <w:nsid w:val="36FE0179"/>
    <w:multiLevelType w:val="singleLevel"/>
    <w:tmpl w:val="36FE0179"/>
    <w:lvl w:ilvl="0" w:tentative="0">
      <w:start w:val="1"/>
      <w:numFmt w:val="decimal"/>
      <w:suff w:val="nothing"/>
      <w:lvlText w:val="%1、"/>
      <w:lvlJc w:val="left"/>
    </w:lvl>
  </w:abstractNum>
  <w:abstractNum w:abstractNumId="2">
    <w:nsid w:val="5A03C0DC"/>
    <w:multiLevelType w:val="multilevel"/>
    <w:tmpl w:val="5A03C0DC"/>
    <w:lvl w:ilvl="0" w:tentative="0">
      <w:start w:val="1"/>
      <w:numFmt w:val="chineseCounting"/>
      <w:pStyle w:val="3"/>
      <w:suff w:val="nothing"/>
      <w:lvlText w:val="%1、"/>
      <w:lvlJc w:val="left"/>
      <w:pPr>
        <w:ind w:left="680" w:firstLine="0"/>
      </w:pPr>
      <w:rPr>
        <w:rFonts w:hint="eastAsia"/>
      </w:rPr>
    </w:lvl>
    <w:lvl w:ilvl="1" w:tentative="0">
      <w:start w:val="1"/>
      <w:numFmt w:val="chineseCounting"/>
      <w:suff w:val="nothing"/>
      <w:lvlText w:val="（%2）"/>
      <w:lvlJc w:val="left"/>
      <w:pPr>
        <w:ind w:left="680" w:firstLine="0"/>
      </w:pPr>
      <w:rPr>
        <w:rFonts w:hint="eastAsia"/>
      </w:rPr>
    </w:lvl>
    <w:lvl w:ilvl="2" w:tentative="0">
      <w:start w:val="1"/>
      <w:numFmt w:val="decimal"/>
      <w:suff w:val="nothing"/>
      <w:lvlText w:val="%3．"/>
      <w:lvlJc w:val="left"/>
      <w:pPr>
        <w:ind w:left="680" w:firstLine="400"/>
      </w:pPr>
      <w:rPr>
        <w:rFonts w:hint="eastAsia"/>
      </w:rPr>
    </w:lvl>
    <w:lvl w:ilvl="3" w:tentative="0">
      <w:start w:val="1"/>
      <w:numFmt w:val="decimal"/>
      <w:suff w:val="nothing"/>
      <w:lvlText w:val="（%4）"/>
      <w:lvlJc w:val="left"/>
      <w:pPr>
        <w:ind w:left="680" w:firstLine="402"/>
      </w:pPr>
      <w:rPr>
        <w:rFonts w:hint="eastAsia"/>
      </w:rPr>
    </w:lvl>
    <w:lvl w:ilvl="4" w:tentative="0">
      <w:start w:val="1"/>
      <w:numFmt w:val="decimalEnclosedCircleChinese"/>
      <w:suff w:val="nothing"/>
      <w:lvlText w:val="%5"/>
      <w:lvlJc w:val="left"/>
      <w:pPr>
        <w:ind w:left="680" w:firstLine="402"/>
      </w:pPr>
      <w:rPr>
        <w:rFonts w:hint="eastAsia"/>
      </w:rPr>
    </w:lvl>
    <w:lvl w:ilvl="5" w:tentative="0">
      <w:start w:val="1"/>
      <w:numFmt w:val="decimal"/>
      <w:suff w:val="nothing"/>
      <w:lvlText w:val="%6）"/>
      <w:lvlJc w:val="left"/>
      <w:pPr>
        <w:ind w:left="680" w:firstLine="402"/>
      </w:pPr>
      <w:rPr>
        <w:rFonts w:hint="eastAsia"/>
      </w:rPr>
    </w:lvl>
    <w:lvl w:ilvl="6" w:tentative="0">
      <w:start w:val="1"/>
      <w:numFmt w:val="lowerLetter"/>
      <w:suff w:val="nothing"/>
      <w:lvlText w:val="%7．"/>
      <w:lvlJc w:val="left"/>
      <w:pPr>
        <w:ind w:left="680" w:firstLine="402"/>
      </w:pPr>
      <w:rPr>
        <w:rFonts w:hint="eastAsia"/>
      </w:rPr>
    </w:lvl>
    <w:lvl w:ilvl="7" w:tentative="0">
      <w:start w:val="1"/>
      <w:numFmt w:val="lowerLetter"/>
      <w:suff w:val="nothing"/>
      <w:lvlText w:val="%8）"/>
      <w:lvlJc w:val="left"/>
      <w:pPr>
        <w:ind w:left="680" w:firstLine="402"/>
      </w:pPr>
      <w:rPr>
        <w:rFonts w:hint="eastAsia"/>
      </w:rPr>
    </w:lvl>
    <w:lvl w:ilvl="8" w:tentative="0">
      <w:start w:val="1"/>
      <w:numFmt w:val="lowerRoman"/>
      <w:suff w:val="nothing"/>
      <w:lvlText w:val="%9 "/>
      <w:lvlJc w:val="left"/>
      <w:pPr>
        <w:ind w:left="680" w:firstLine="402"/>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bordersDoNotSurroundHeader w:val="0"/>
  <w:bordersDoNotSurroundFooter w:val="0"/>
  <w:documentProtection w:enforcement="0"/>
  <w:defaultTabStop w:val="708"/>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FmMjkzMzVjYzAxNDAyZjdkNWQzOTdmZGYwYWQ2OTkifQ=="/>
    <w:docVar w:name="KSO_WPS_MARK_KEY" w:val="c9071083-1495-4f69-99cb-b05137e6a0cc"/>
  </w:docVars>
  <w:rsids>
    <w:rsidRoot w:val="00BA5B2D"/>
    <w:rsid w:val="00B06B85"/>
    <w:rsid w:val="00BA5B2D"/>
    <w:rsid w:val="0287124F"/>
    <w:rsid w:val="03591E84"/>
    <w:rsid w:val="04D92564"/>
    <w:rsid w:val="08FD3DFA"/>
    <w:rsid w:val="0D230DA7"/>
    <w:rsid w:val="0F7F00F1"/>
    <w:rsid w:val="13321FC3"/>
    <w:rsid w:val="154D023C"/>
    <w:rsid w:val="1771794C"/>
    <w:rsid w:val="1F8B564A"/>
    <w:rsid w:val="1FBA251E"/>
    <w:rsid w:val="2280357B"/>
    <w:rsid w:val="266B71CA"/>
    <w:rsid w:val="286F60A6"/>
    <w:rsid w:val="2FE017DD"/>
    <w:rsid w:val="32992886"/>
    <w:rsid w:val="37AF73EB"/>
    <w:rsid w:val="3AFE7577"/>
    <w:rsid w:val="3B141786"/>
    <w:rsid w:val="3E025AD2"/>
    <w:rsid w:val="3E1D259E"/>
    <w:rsid w:val="413931B1"/>
    <w:rsid w:val="4239643F"/>
    <w:rsid w:val="45541132"/>
    <w:rsid w:val="467C4BB8"/>
    <w:rsid w:val="4E056B0F"/>
    <w:rsid w:val="52344C61"/>
    <w:rsid w:val="54D30F35"/>
    <w:rsid w:val="578A30A4"/>
    <w:rsid w:val="5A160C1F"/>
    <w:rsid w:val="5F3E0174"/>
    <w:rsid w:val="625E6B5D"/>
    <w:rsid w:val="6A7A0D56"/>
    <w:rsid w:val="732310DD"/>
    <w:rsid w:val="7445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qFormat="1" w:unhideWhenUsed="0" w:uiPriority="0"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qFormat="1" w:unhideWhenUsed="0" w:uiPriority="0"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qFormat="1" w:unhideWhenUsed="0" w:uiPriority="0"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qFormat="1" w:unhideWhenUsed="0" w:uiPriority="0"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link w:val="8"/>
    <w:autoRedefine/>
    <w:qFormat/>
    <w:uiPriority w:val="0"/>
    <w:pPr>
      <w:spacing w:before="120" w:after="240"/>
      <w:jc w:val="both"/>
    </w:pPr>
    <w:rPr>
      <w:rFonts w:ascii="Times New Roman" w:hAnsi="Times New Roman" w:eastAsia="宋体" w:cs="Times New Roman"/>
      <w:sz w:val="22"/>
      <w:szCs w:val="22"/>
      <w:lang w:val="ru-RU" w:bidi="ar-SA"/>
    </w:rPr>
  </w:style>
  <w:style w:type="paragraph" w:styleId="3">
    <w:name w:val="heading 1"/>
    <w:basedOn w:val="1"/>
    <w:next w:val="1"/>
    <w:autoRedefine/>
    <w:qFormat/>
    <w:uiPriority w:val="0"/>
    <w:pPr>
      <w:keepNext/>
      <w:keepLines/>
      <w:numPr>
        <w:ilvl w:val="0"/>
        <w:numId w:val="1"/>
      </w:numPr>
      <w:spacing w:line="360" w:lineRule="auto"/>
      <w:ind w:firstLine="0" w:firstLineChars="0"/>
      <w:outlineLvl w:val="0"/>
    </w:pPr>
    <w:rPr>
      <w:rFonts w:ascii="Calibri" w:hAnsi="Calibri" w:eastAsia="仿宋_GB2312"/>
      <w:b/>
      <w:bCs/>
      <w:kern w:val="44"/>
      <w:sz w:val="32"/>
      <w:szCs w:val="32"/>
    </w:rPr>
  </w:style>
  <w:style w:type="character" w:default="1" w:styleId="8">
    <w:name w:val="Default Paragraph Font"/>
    <w:link w:val="1"/>
    <w:autoRedefine/>
    <w:semiHidden/>
    <w:qFormat/>
    <w:uiPriority w:val="0"/>
  </w:style>
  <w:style w:type="table" w:default="1" w:styleId="7">
    <w:name w:val="Normal Table"/>
    <w:qFormat/>
    <w:uiPriority w:val="4294967295"/>
    <w:tblPr>
      <w:tblCellMar>
        <w:top w:w="0" w:type="dxa"/>
        <w:left w:w="108" w:type="dxa"/>
        <w:bottom w:w="0" w:type="dxa"/>
        <w:right w:w="108" w:type="dxa"/>
      </w:tblCellMar>
    </w:tblPr>
  </w:style>
  <w:style w:type="paragraph" w:default="1" w:styleId="9">
    <w:name w:val="No List"/>
    <w:semiHidden/>
    <w:qFormat/>
    <w:uiPriority w:val="0"/>
    <w:rPr>
      <w:rFonts w:ascii="Times New Roman" w:hAnsi="Times New Roman" w:eastAsia="宋体" w:cs="Times New Roman"/>
      <w:sz w:val="21"/>
      <w:szCs w:val="22"/>
    </w:rPr>
  </w:style>
  <w:style w:type="paragraph" w:styleId="2">
    <w:name w:val="Body Text"/>
    <w:basedOn w:val="1"/>
    <w:qFormat/>
    <w:uiPriority w:val="0"/>
    <w:pPr>
      <w:widowControl/>
      <w:spacing w:before="100" w:beforeAutospacing="1" w:after="100" w:afterAutospacing="1"/>
      <w:jc w:val="left"/>
    </w:pPr>
    <w:rPr>
      <w:rFonts w:ascii="宋体" w:hAnsi="Times New Roman" w:cs="宋体"/>
      <w:kern w:val="0"/>
      <w:sz w:val="24"/>
    </w:rPr>
  </w:style>
  <w:style w:type="paragraph" w:styleId="4">
    <w:name w:val="Body Text Indent 2"/>
    <w:basedOn w:val="1"/>
    <w:qFormat/>
    <w:uiPriority w:val="0"/>
    <w:pPr>
      <w:spacing w:after="120" w:line="480" w:lineRule="auto"/>
      <w:ind w:left="420" w:leftChars="200"/>
    </w:pPr>
    <w:rPr>
      <w:rFonts w:ascii="仿宋_GB2312" w:eastAsia="仿宋_GB2312"/>
      <w:sz w:val="32"/>
      <w:szCs w:val="32"/>
    </w:rPr>
  </w:style>
  <w:style w:type="paragraph" w:styleId="5">
    <w:name w:val="footer"/>
    <w:basedOn w:val="1"/>
    <w:qFormat/>
    <w:uiPriority w:val="0"/>
    <w:pPr>
      <w:tabs>
        <w:tab w:val="center" w:pos="4153"/>
        <w:tab w:val="right" w:pos="8306"/>
      </w:tabs>
      <w:snapToGrid w:val="0"/>
      <w:jc w:val="left"/>
    </w:pPr>
    <w:rPr>
      <w:sz w:val="18"/>
    </w:rPr>
  </w:style>
  <w:style w:type="paragraph" w:styleId="6">
    <w:name w:val="Title"/>
    <w:basedOn w:val="1"/>
    <w:next w:val="1"/>
    <w:qFormat/>
    <w:uiPriority w:val="0"/>
    <w:pPr>
      <w:tabs>
        <w:tab w:val="left" w:pos="0"/>
      </w:tabs>
      <w:adjustRightInd w:val="0"/>
      <w:snapToGrid w:val="0"/>
      <w:spacing w:before="100" w:beforeLines="100" w:after="100" w:afterLines="100"/>
      <w:ind w:firstLine="0" w:firstLineChars="0"/>
      <w:jc w:val="center"/>
    </w:pPr>
    <w:rPr>
      <w:rFonts w:hAnsi="Arial" w:cs="Arial"/>
      <w:b/>
      <w:bCs/>
      <w:sz w:val="48"/>
      <w:szCs w:val="32"/>
    </w:rPr>
  </w:style>
  <w:style w:type="table" w:customStyle="1" w:styleId="10">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Aspose</Company>
  <Pages>4</Pages>
  <Words>1623</Words>
  <Characters>1688</Characters>
  <Lines>0</Lines>
  <Paragraphs>0</Paragraphs>
  <TotalTime>17</TotalTime>
  <ScaleCrop>false</ScaleCrop>
  <LinksUpToDate>false</LinksUpToDate>
  <CharactersWithSpaces>1692</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2020-11-23T09:33:00Z</dcterms:created>
  <dc:creator>SYSTEM</dc:creator>
  <cp:lastModifiedBy>幸福1414651991</cp:lastModifiedBy>
  <cp:lastPrinted>2024-05-15T09:36:00Z</cp:lastPrinted>
  <dcterms:modified xsi:type="dcterms:W3CDTF">2024-09-19T06:34:06Z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D47CEF377ABF499F883E36FC27B8BD53</vt:lpwstr>
  </property>
</Properties>
</file>