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F7893">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1A86DBA4">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69CF7F6A">
      <w:pPr>
        <w:pageBreakBefore w:val="0"/>
        <w:kinsoku/>
        <w:wordWrap/>
        <w:overflowPunct/>
        <w:topLinePunct w:val="0"/>
        <w:autoSpaceDE/>
        <w:autoSpaceDN/>
        <w:bidi w:val="0"/>
        <w:adjustRightInd/>
        <w:snapToGrid/>
        <w:spacing w:before="100" w:beforeLines="0" w:after="100" w:afterLines="0"/>
        <w:jc w:val="both"/>
        <w:textAlignment w:val="auto"/>
        <w:rPr>
          <w:rFonts w:hint="eastAsia" w:ascii="宋体" w:hAnsi="宋体"/>
          <w:color w:val="auto"/>
          <w:sz w:val="32"/>
          <w:szCs w:val="32"/>
          <w:lang w:val="zh-CN"/>
        </w:rPr>
      </w:pPr>
    </w:p>
    <w:p w14:paraId="1512D076">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1C23631C">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063B3A56">
      <w:pPr>
        <w:keepNext w:val="0"/>
        <w:keepLines w:val="0"/>
        <w:pageBreakBefore w:val="0"/>
        <w:widowControl/>
        <w:kinsoku/>
        <w:wordWrap/>
        <w:overflowPunct/>
        <w:topLinePunct w:val="0"/>
        <w:autoSpaceDE/>
        <w:autoSpaceDN/>
        <w:bidi w:val="0"/>
        <w:adjustRightInd/>
        <w:snapToGrid/>
        <w:spacing w:beforeLines="0" w:afterLines="0" w:line="60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val="zh-CN"/>
        </w:rPr>
      </w:pPr>
      <w:r>
        <w:rPr>
          <w:rFonts w:hint="eastAsia" w:ascii="方正小标宋简体" w:hAnsi="方正小标宋简体" w:eastAsia="方正小标宋简体" w:cs="方正小标宋简体"/>
          <w:color w:val="auto"/>
          <w:sz w:val="44"/>
          <w:szCs w:val="44"/>
          <w:lang w:val="zh-CN"/>
        </w:rPr>
        <w:t>2023年度</w:t>
      </w:r>
    </w:p>
    <w:p w14:paraId="356163FD">
      <w:pPr>
        <w:keepNext w:val="0"/>
        <w:keepLines w:val="0"/>
        <w:pageBreakBefore w:val="0"/>
        <w:widowControl/>
        <w:kinsoku/>
        <w:wordWrap/>
        <w:overflowPunct/>
        <w:topLinePunct w:val="0"/>
        <w:autoSpaceDE/>
        <w:autoSpaceDN/>
        <w:bidi w:val="0"/>
        <w:adjustRightInd/>
        <w:snapToGrid/>
        <w:spacing w:beforeLines="0" w:afterLines="0" w:line="60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val="zh-CN"/>
        </w:rPr>
      </w:pPr>
      <w:r>
        <w:rPr>
          <w:rFonts w:hint="eastAsia" w:ascii="方正小标宋简体" w:hAnsi="方正小标宋简体" w:eastAsia="方正小标宋简体" w:cs="方正小标宋简体"/>
          <w:color w:val="auto"/>
          <w:sz w:val="44"/>
          <w:szCs w:val="44"/>
          <w:lang w:val="zh-CN"/>
        </w:rPr>
        <w:t>华池县县委团委会部门决算</w:t>
      </w:r>
    </w:p>
    <w:p w14:paraId="51C97922">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54F737C3">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6EE7951E">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3552A3ED">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41CD4ECE">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216CBE28">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1D07F710">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444B9BBD">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03C31838">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512D3818">
      <w:pPr>
        <w:pageBreakBefore w:val="0"/>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宋体" w:hAnsi="宋体"/>
          <w:color w:val="auto"/>
          <w:sz w:val="32"/>
          <w:szCs w:val="32"/>
          <w:lang w:val="zh-CN"/>
        </w:rPr>
      </w:pPr>
    </w:p>
    <w:p w14:paraId="658CC8AE">
      <w:pPr>
        <w:pageBreakBefore w:val="0"/>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32"/>
          <w:szCs w:val="32"/>
          <w:lang w:val="zh-CN"/>
        </w:rPr>
      </w:pPr>
    </w:p>
    <w:p w14:paraId="0FEF0611">
      <w:pPr>
        <w:keepNext w:val="0"/>
        <w:keepLines w:val="0"/>
        <w:pageBreakBefore w:val="0"/>
        <w:widowControl/>
        <w:kinsoku/>
        <w:wordWrap/>
        <w:overflowPunct/>
        <w:topLinePunct w:val="0"/>
        <w:autoSpaceDE/>
        <w:autoSpaceDN/>
        <w:bidi w:val="0"/>
        <w:adjustRightInd/>
        <w:snapToGrid/>
        <w:spacing w:beforeLines="0" w:afterLines="0" w:line="560" w:lineRule="exact"/>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目录</w:t>
      </w:r>
    </w:p>
    <w:p w14:paraId="6E21883C">
      <w:pPr>
        <w:keepNext w:val="0"/>
        <w:keepLines w:val="0"/>
        <w:pageBreakBefore w:val="0"/>
        <w:widowControl/>
        <w:kinsoku/>
        <w:wordWrap/>
        <w:overflowPunct/>
        <w:topLinePunct w:val="0"/>
        <w:autoSpaceDE/>
        <w:autoSpaceDN/>
        <w:bidi w:val="0"/>
        <w:adjustRightInd/>
        <w:snapToGrid/>
        <w:spacing w:beforeLines="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第一部分部门概况</w:t>
      </w:r>
    </w:p>
    <w:p w14:paraId="47AF01F4">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一、部门职责</w:t>
      </w:r>
    </w:p>
    <w:p w14:paraId="7F6F5086">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14:paraId="6723DF5C">
      <w:pPr>
        <w:keepNext w:val="0"/>
        <w:keepLines w:val="0"/>
        <w:pageBreakBefore w:val="0"/>
        <w:widowControl/>
        <w:kinsoku/>
        <w:wordWrap/>
        <w:overflowPunct/>
        <w:topLinePunct w:val="0"/>
        <w:autoSpaceDE/>
        <w:autoSpaceDN/>
        <w:bidi w:val="0"/>
        <w:adjustRightInd/>
        <w:snapToGrid/>
        <w:spacing w:beforeLines="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0CE28217">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4FFF776F">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w:t>
      </w:r>
    </w:p>
    <w:p w14:paraId="5C8AAF22">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w:t>
      </w:r>
    </w:p>
    <w:p w14:paraId="2E17A62B">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1F781FC1">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131C71CE">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52C0B822">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75189DD0">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6019C4CD">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209F25E8">
      <w:pPr>
        <w:keepNext w:val="0"/>
        <w:keepLines w:val="0"/>
        <w:pageBreakBefore w:val="0"/>
        <w:widowControl/>
        <w:kinsoku/>
        <w:wordWrap/>
        <w:overflowPunct/>
        <w:topLinePunct w:val="0"/>
        <w:autoSpaceDE/>
        <w:autoSpaceDN/>
        <w:bidi w:val="0"/>
        <w:adjustRightInd/>
        <w:snapToGrid/>
        <w:spacing w:beforeLines="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22967631">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14:paraId="395BE8DB">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二、收入决算情况说明</w:t>
      </w:r>
    </w:p>
    <w:p w14:paraId="7C10ECBC">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三、支出决算情况说明</w:t>
      </w:r>
    </w:p>
    <w:p w14:paraId="4C223E14">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14:paraId="7CEB82A0">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14:paraId="16439E1D">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14:paraId="1BB6A3B7">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七、政府性基金预算财政拨款收支决算情况说明</w:t>
      </w:r>
    </w:p>
    <w:p w14:paraId="4429BA4F">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八、国有资本经营预算财政拨款支出情况说明</w:t>
      </w:r>
    </w:p>
    <w:p w14:paraId="32411046">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14:paraId="091C5E8A">
      <w:pPr>
        <w:keepNext w:val="0"/>
        <w:keepLines w:val="0"/>
        <w:pageBreakBefore w:val="0"/>
        <w:widowControl/>
        <w:tabs>
          <w:tab w:val="left" w:pos="7260"/>
        </w:tabs>
        <w:kinsoku/>
        <w:wordWrap/>
        <w:overflowPunct/>
        <w:topLinePunct w:val="0"/>
        <w:autoSpaceDE/>
        <w:autoSpaceDN/>
        <w:bidi w:val="0"/>
        <w:adjustRightInd/>
        <w:snapToGrid/>
        <w:spacing w:beforeLines="0" w:afterLines="0" w:line="560" w:lineRule="exact"/>
        <w:ind w:firstLine="480" w:firstLineChars="200"/>
        <w:jc w:val="left"/>
        <w:textAlignment w:val="auto"/>
        <w:rPr>
          <w:rFonts w:hint="default" w:ascii="宋体" w:hAnsi="宋体" w:eastAsia="宋体"/>
          <w:color w:val="auto"/>
          <w:sz w:val="24"/>
          <w:szCs w:val="24"/>
          <w:lang w:val="en-US" w:eastAsia="zh-CN"/>
        </w:rPr>
      </w:pPr>
      <w:r>
        <w:rPr>
          <w:rFonts w:hint="eastAsia" w:ascii="宋体" w:hAnsi="宋体"/>
          <w:color w:val="auto"/>
          <w:sz w:val="24"/>
          <w:szCs w:val="24"/>
          <w:lang w:val="zh-CN"/>
        </w:rPr>
        <w:t>十、机关运行经费支出情况说明</w:t>
      </w:r>
      <w:r>
        <w:rPr>
          <w:rFonts w:hint="eastAsia" w:ascii="宋体" w:hAnsi="宋体"/>
          <w:color w:val="auto"/>
          <w:sz w:val="24"/>
          <w:szCs w:val="24"/>
          <w:lang w:val="zh-CN"/>
        </w:rPr>
        <w:tab/>
      </w:r>
    </w:p>
    <w:p w14:paraId="338C151E">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十一、政府采购支出情况说明</w:t>
      </w:r>
    </w:p>
    <w:p w14:paraId="3B102A68">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十二、国有资产占用情况说明</w:t>
      </w:r>
    </w:p>
    <w:p w14:paraId="42CAB724">
      <w:pPr>
        <w:keepNext w:val="0"/>
        <w:keepLines w:val="0"/>
        <w:pageBreakBefore w:val="0"/>
        <w:widowControl/>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十三、其他需要说明的情况</w:t>
      </w:r>
    </w:p>
    <w:p w14:paraId="3C76079D">
      <w:pPr>
        <w:keepNext w:val="0"/>
        <w:keepLines w:val="0"/>
        <w:pageBreakBefore w:val="0"/>
        <w:widowControl/>
        <w:kinsoku/>
        <w:wordWrap/>
        <w:overflowPunct/>
        <w:topLinePunct w:val="0"/>
        <w:autoSpaceDE/>
        <w:autoSpaceDN/>
        <w:bidi w:val="0"/>
        <w:adjustRightInd/>
        <w:snapToGrid/>
        <w:spacing w:beforeLines="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第四部分预算绩效情况说明</w:t>
      </w:r>
    </w:p>
    <w:p w14:paraId="529A9002">
      <w:pPr>
        <w:keepNext w:val="0"/>
        <w:keepLines w:val="0"/>
        <w:pageBreakBefore w:val="0"/>
        <w:widowControl/>
        <w:kinsoku/>
        <w:wordWrap/>
        <w:overflowPunct/>
        <w:topLinePunct w:val="0"/>
        <w:autoSpaceDE/>
        <w:autoSpaceDN/>
        <w:bidi w:val="0"/>
        <w:adjustRightInd/>
        <w:snapToGrid/>
        <w:spacing w:beforeLines="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第五部分名词解释</w:t>
      </w:r>
    </w:p>
    <w:p w14:paraId="5D80D9F1">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29B01B84">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4156AACB">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12CE8FB3">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29EE8BB7">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0DF22A1F">
      <w:pPr>
        <w:pageBreakBefore w:val="0"/>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宋体" w:hAnsi="宋体"/>
          <w:color w:val="auto"/>
          <w:sz w:val="32"/>
          <w:szCs w:val="32"/>
          <w:lang w:val="zh-CN"/>
        </w:rPr>
      </w:pPr>
    </w:p>
    <w:p w14:paraId="2E2CC0A4">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36D8F990">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00D4DC77">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3DC058C5">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661784D6">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16925673">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7354FE18">
      <w:pPr>
        <w:pageBreakBefore w:val="0"/>
        <w:kinsoku/>
        <w:wordWrap/>
        <w:overflowPunct/>
        <w:topLinePunct w:val="0"/>
        <w:autoSpaceDE/>
        <w:autoSpaceDN/>
        <w:bidi w:val="0"/>
        <w:adjustRightInd/>
        <w:snapToGrid/>
        <w:spacing w:before="100" w:beforeLines="0" w:after="100" w:afterLines="0" w:line="560" w:lineRule="exact"/>
        <w:ind w:firstLine="643" w:firstLineChars="200"/>
        <w:jc w:val="center"/>
        <w:textAlignment w:val="auto"/>
        <w:rPr>
          <w:rFonts w:hint="eastAsia" w:ascii="宋体" w:hAnsi="宋体"/>
          <w:b/>
          <w:color w:val="auto"/>
          <w:sz w:val="32"/>
          <w:szCs w:val="32"/>
          <w:lang w:val="zh-CN"/>
        </w:rPr>
      </w:pPr>
    </w:p>
    <w:p w14:paraId="5B222F26">
      <w:pPr>
        <w:keepNext w:val="0"/>
        <w:keepLines w:val="0"/>
        <w:pageBreakBefore w:val="0"/>
        <w:kinsoku/>
        <w:wordWrap/>
        <w:overflowPunct/>
        <w:topLinePunct w:val="0"/>
        <w:autoSpaceDE/>
        <w:autoSpaceDN/>
        <w:bidi w:val="0"/>
        <w:adjustRightInd/>
        <w:snapToGrid w:val="0"/>
        <w:spacing w:line="560" w:lineRule="exact"/>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第一部分部门概况</w:t>
      </w:r>
    </w:p>
    <w:p w14:paraId="4B9FF5CE">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黑体" w:hAnsi="黑体" w:eastAsia="黑体" w:cs="黑体"/>
          <w:color w:val="auto"/>
          <w:sz w:val="24"/>
          <w:szCs w:val="24"/>
          <w:lang w:val="zh-CN"/>
        </w:rPr>
        <w:t>一、部门职责</w:t>
      </w:r>
    </w:p>
    <w:p w14:paraId="0247C945">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中国共产主义青年团华池县委员会（以下简称为共青团华池县委）是全县共青团组织的领导机关，</w:t>
      </w:r>
      <w:r>
        <w:rPr>
          <w:rFonts w:hint="eastAsia" w:asciiTheme="minorEastAsia" w:hAnsiTheme="minorEastAsia" w:eastAsiaTheme="minorEastAsia" w:cstheme="minorEastAsia"/>
          <w:color w:val="auto"/>
          <w:kern w:val="0"/>
          <w:sz w:val="24"/>
          <w:szCs w:val="24"/>
          <w:lang w:eastAsia="zh-CN"/>
        </w:rPr>
        <w:t>其</w:t>
      </w:r>
      <w:r>
        <w:rPr>
          <w:rFonts w:hint="eastAsia" w:asciiTheme="minorEastAsia" w:hAnsiTheme="minorEastAsia" w:eastAsiaTheme="minorEastAsia" w:cstheme="minorEastAsia"/>
          <w:color w:val="auto"/>
          <w:kern w:val="0"/>
          <w:sz w:val="24"/>
          <w:szCs w:val="24"/>
        </w:rPr>
        <w:t>主要职责为：</w:t>
      </w:r>
    </w:p>
    <w:p w14:paraId="4C83030D">
      <w:pPr>
        <w:keepNext w:val="0"/>
        <w:keepLines w:val="0"/>
        <w:pageBreakBefore w:val="0"/>
        <w:widowControl w:val="0"/>
        <w:kinsoku/>
        <w:wordWrap/>
        <w:overflowPunct/>
        <w:topLinePunct w:val="0"/>
        <w:autoSpaceDE/>
        <w:autoSpaceDN/>
        <w:bidi w:val="0"/>
        <w:adjustRightInd/>
        <w:snapToGrid w:val="0"/>
        <w:spacing w:line="5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rPr>
        <w:t>、领导全县共青团工作，领导全县少先队工作，对全县性青少年社团组织进行指导和管理。</w:t>
      </w:r>
    </w:p>
    <w:p w14:paraId="4E30CBE7">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、参与制订全县青少年事业发展规划和青少年工作方针、政策。对全县青少年活动阵地、青少年报刊、青少年服务机构的建设等事务进行规划和管理。</w:t>
      </w:r>
    </w:p>
    <w:p w14:paraId="134A6521">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、积极维护青少年的利益和合法权益，参与监督青少年法规的执行，协助党和政府处理、协调与青少年利益相关的事务。</w:t>
      </w:r>
    </w:p>
    <w:p w14:paraId="29AA9778">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4</w:t>
      </w:r>
      <w:r>
        <w:rPr>
          <w:rFonts w:hint="eastAsia" w:asciiTheme="minorEastAsia" w:hAnsiTheme="minorEastAsia" w:eastAsiaTheme="minorEastAsia" w:cstheme="minorEastAsia"/>
          <w:color w:val="auto"/>
          <w:kern w:val="0"/>
          <w:sz w:val="24"/>
          <w:szCs w:val="24"/>
        </w:rPr>
        <w:t>、调查青少年思想动态和青少年工作情况，研究青少年运动、青少年工作理论和思想教育问题，提出相应的对策。</w:t>
      </w:r>
    </w:p>
    <w:p w14:paraId="58B3854E">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、协助政府教育部门组织大、中、小学学生开展各具特色的教育和活动，维护学校稳定和社会安定团结。</w:t>
      </w:r>
    </w:p>
    <w:p w14:paraId="71C19532">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6</w:t>
      </w:r>
      <w:r>
        <w:rPr>
          <w:rFonts w:hint="eastAsia" w:asciiTheme="minorEastAsia" w:hAnsiTheme="minorEastAsia" w:eastAsiaTheme="minorEastAsia" w:cstheme="minorEastAsia"/>
          <w:color w:val="auto"/>
          <w:kern w:val="0"/>
          <w:sz w:val="24"/>
          <w:szCs w:val="24"/>
        </w:rPr>
        <w:t>、组织和带领青年在改革开放和现代化建设中发挥生力军和突击队作用。</w:t>
      </w:r>
    </w:p>
    <w:p w14:paraId="4FFA14E7">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7</w:t>
      </w:r>
      <w:r>
        <w:rPr>
          <w:rFonts w:hint="eastAsia" w:asciiTheme="minorEastAsia" w:hAnsiTheme="minorEastAsia" w:eastAsiaTheme="minorEastAsia" w:cstheme="minorEastAsia"/>
          <w:color w:val="auto"/>
          <w:kern w:val="0"/>
          <w:sz w:val="24"/>
          <w:szCs w:val="24"/>
        </w:rPr>
        <w:t>、负责全县青年统战、民族、宗教工作，做好青年统战对象的团结教育工作，维护、促进祖国统一和民族团结。</w:t>
      </w:r>
    </w:p>
    <w:p w14:paraId="0DC77A0A">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rPr>
        <w:t>8</w:t>
      </w:r>
      <w:r>
        <w:rPr>
          <w:rFonts w:hint="eastAsia" w:asciiTheme="minorEastAsia" w:hAnsiTheme="minorEastAsia" w:eastAsiaTheme="minorEastAsia" w:cstheme="minorEastAsia"/>
          <w:color w:val="auto"/>
          <w:kern w:val="0"/>
          <w:sz w:val="24"/>
          <w:szCs w:val="24"/>
        </w:rPr>
        <w:t>、承担县委、县政府交办的其他有关事项。</w:t>
      </w:r>
    </w:p>
    <w:p w14:paraId="5E651377">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黑体" w:hAnsi="黑体" w:eastAsia="黑体" w:cs="黑体"/>
          <w:color w:val="auto"/>
          <w:sz w:val="24"/>
          <w:szCs w:val="24"/>
          <w:lang w:val="zh-CN"/>
        </w:rPr>
      </w:pPr>
      <w:r>
        <w:rPr>
          <w:rFonts w:hint="eastAsia" w:ascii="黑体" w:hAnsi="黑体" w:eastAsia="黑体" w:cs="黑体"/>
          <w:color w:val="auto"/>
          <w:sz w:val="24"/>
          <w:szCs w:val="24"/>
          <w:lang w:val="zh-CN"/>
        </w:rPr>
        <w:t>二、机构设置</w:t>
      </w:r>
    </w:p>
    <w:p w14:paraId="6C8A86AC">
      <w:pPr>
        <w:pStyle w:val="2"/>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560" w:lineRule="exact"/>
        <w:ind w:firstLine="482" w:firstLineChars="200"/>
        <w:textAlignment w:val="auto"/>
        <w:rPr>
          <w:rFonts w:ascii="Times New Roman" w:hAnsi="Times New Roman" w:eastAsia="仿宋_GB2312" w:cs="Times New Roman"/>
          <w:color w:val="auto"/>
          <w:sz w:val="24"/>
          <w:szCs w:val="24"/>
        </w:rPr>
      </w:pPr>
      <w:r>
        <w:rPr>
          <w:rFonts w:ascii="Times New Roman" w:hAnsi="Times New Roman" w:eastAsia="仿宋_GB2312" w:cs="Times New Roman"/>
          <w:b/>
          <w:bCs/>
          <w:color w:val="auto"/>
          <w:sz w:val="24"/>
          <w:szCs w:val="24"/>
        </w:rPr>
        <w:t>（1）机关内设机构</w:t>
      </w:r>
    </w:p>
    <w:p w14:paraId="69528860">
      <w:pPr>
        <w:pStyle w:val="2"/>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560" w:lineRule="exact"/>
        <w:ind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val="0"/>
          <w:i w:val="0"/>
          <w:caps w:val="0"/>
          <w:color w:val="auto"/>
          <w:spacing w:val="0"/>
          <w:sz w:val="24"/>
          <w:szCs w:val="24"/>
          <w:lang w:val="en-US" w:eastAsia="zh-CN"/>
        </w:rPr>
        <w:t>共青团华池县委有</w:t>
      </w:r>
      <w:r>
        <w:rPr>
          <w:rFonts w:hint="eastAsia" w:asciiTheme="minorEastAsia" w:hAnsiTheme="minorEastAsia" w:eastAsiaTheme="minorEastAsia" w:cstheme="minorEastAsia"/>
          <w:color w:val="auto"/>
          <w:kern w:val="0"/>
          <w:sz w:val="24"/>
          <w:szCs w:val="24"/>
        </w:rPr>
        <w:t>内设</w:t>
      </w:r>
      <w:r>
        <w:rPr>
          <w:rFonts w:hint="eastAsia" w:asciiTheme="minorEastAsia" w:hAnsiTheme="minorEastAsia" w:eastAsiaTheme="minorEastAsia" w:cstheme="minorEastAsia"/>
          <w:color w:val="auto"/>
          <w:kern w:val="0"/>
          <w:sz w:val="24"/>
          <w:szCs w:val="24"/>
          <w:lang w:eastAsia="zh-CN"/>
        </w:rPr>
        <w:t>机构1个，即：</w:t>
      </w:r>
      <w:r>
        <w:rPr>
          <w:rFonts w:hint="eastAsia" w:asciiTheme="minorEastAsia" w:hAnsiTheme="minorEastAsia" w:eastAsiaTheme="minorEastAsia" w:cstheme="minorEastAsia"/>
          <w:color w:val="auto"/>
          <w:kern w:val="0"/>
          <w:sz w:val="24"/>
          <w:szCs w:val="24"/>
        </w:rPr>
        <w:t>中国少年先锋队华池县工作委员会</w:t>
      </w:r>
      <w:r>
        <w:rPr>
          <w:rFonts w:hint="eastAsia" w:asciiTheme="minorEastAsia" w:hAnsiTheme="minorEastAsia" w:eastAsiaTheme="minorEastAsia" w:cstheme="minorEastAsia"/>
          <w:color w:val="auto"/>
          <w:kern w:val="0"/>
          <w:sz w:val="24"/>
          <w:szCs w:val="24"/>
          <w:lang w:eastAsia="zh-CN"/>
        </w:rPr>
        <w:t>。</w:t>
      </w:r>
    </w:p>
    <w:p w14:paraId="3B4AE747">
      <w:pPr>
        <w:pStyle w:val="2"/>
        <w:keepNext w:val="0"/>
        <w:keepLines w:val="0"/>
        <w:pageBreakBefore w:val="0"/>
        <w:numPr>
          <w:ilvl w:val="0"/>
          <w:numId w:val="1"/>
        </w:numPr>
        <w:shd w:val="clear" w:color="auto" w:fill="FFFFFF"/>
        <w:kinsoku/>
        <w:wordWrap/>
        <w:overflowPunct/>
        <w:topLinePunct w:val="0"/>
        <w:autoSpaceDE/>
        <w:autoSpaceDN/>
        <w:bidi w:val="0"/>
        <w:adjustRightInd/>
        <w:snapToGrid w:val="0"/>
        <w:spacing w:before="0" w:beforeAutospacing="0" w:after="0" w:afterAutospacing="0" w:line="560" w:lineRule="exact"/>
        <w:ind w:firstLine="482" w:firstLineChars="200"/>
        <w:textAlignment w:val="auto"/>
        <w:rPr>
          <w:rFonts w:hint="eastAsia" w:ascii="Times New Roman" w:hAnsi="Times New Roman" w:eastAsia="仿宋_GB2312" w:cs="Times New Roman"/>
          <w:b/>
          <w:bCs/>
          <w:color w:val="auto"/>
          <w:sz w:val="24"/>
          <w:szCs w:val="24"/>
          <w:lang w:eastAsia="zh-CN"/>
        </w:rPr>
      </w:pPr>
      <w:r>
        <w:rPr>
          <w:rFonts w:hint="eastAsia" w:ascii="Times New Roman" w:hAnsi="Times New Roman" w:eastAsia="仿宋_GB2312" w:cs="Times New Roman"/>
          <w:b/>
          <w:bCs/>
          <w:color w:val="auto"/>
          <w:sz w:val="24"/>
          <w:szCs w:val="24"/>
          <w:lang w:eastAsia="zh-CN"/>
        </w:rPr>
        <w:t>人员情况</w:t>
      </w:r>
    </w:p>
    <w:p w14:paraId="4F4E7EAC">
      <w:pPr>
        <w:pStyle w:val="2"/>
        <w:keepNext w:val="0"/>
        <w:keepLines w:val="0"/>
        <w:pageBreakBefore w:val="0"/>
        <w:numPr>
          <w:ilvl w:val="0"/>
          <w:numId w:val="0"/>
        </w:numPr>
        <w:shd w:val="clear" w:color="auto" w:fill="FFFFFF"/>
        <w:kinsoku/>
        <w:wordWrap/>
        <w:overflowPunct/>
        <w:topLinePunct w:val="0"/>
        <w:autoSpaceDE/>
        <w:autoSpaceDN/>
        <w:bidi w:val="0"/>
        <w:adjustRightInd/>
        <w:snapToGrid w:val="0"/>
        <w:spacing w:before="0" w:beforeAutospacing="0" w:after="0" w:afterAutospacing="0" w:line="560" w:lineRule="exact"/>
        <w:ind w:firstLine="480" w:firstLineChars="200"/>
        <w:textAlignment w:val="auto"/>
        <w:rPr>
          <w:rFonts w:hint="eastAsia" w:ascii="宋体" w:hAnsi="宋体"/>
          <w:b/>
          <w:color w:val="auto"/>
          <w:sz w:val="24"/>
          <w:szCs w:val="24"/>
          <w:lang w:val="zh-CN"/>
        </w:rPr>
      </w:pPr>
      <w:r>
        <w:rPr>
          <w:rFonts w:hint="eastAsia" w:asciiTheme="minorEastAsia" w:hAnsiTheme="minorEastAsia" w:eastAsiaTheme="minorEastAsia" w:cstheme="minorEastAsia"/>
          <w:b w:val="0"/>
          <w:i w:val="0"/>
          <w:caps w:val="0"/>
          <w:color w:val="auto"/>
          <w:spacing w:val="0"/>
          <w:sz w:val="24"/>
          <w:szCs w:val="24"/>
          <w:shd w:val="clear" w:color="auto" w:fill="FFFFFF"/>
        </w:rPr>
        <w:t>20</w:t>
      </w: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23</w:t>
      </w:r>
      <w:r>
        <w:rPr>
          <w:rFonts w:hint="eastAsia" w:asciiTheme="minorEastAsia" w:hAnsiTheme="minorEastAsia" w:eastAsiaTheme="minorEastAsia" w:cstheme="minorEastAsia"/>
          <w:b w:val="0"/>
          <w:i w:val="0"/>
          <w:caps w:val="0"/>
          <w:color w:val="auto"/>
          <w:spacing w:val="0"/>
          <w:sz w:val="24"/>
          <w:szCs w:val="24"/>
          <w:shd w:val="clear" w:color="auto" w:fill="FFFFFF"/>
        </w:rPr>
        <w:t>年度，我</w:t>
      </w:r>
      <w:r>
        <w:rPr>
          <w:rFonts w:hint="eastAsia" w:asciiTheme="minorEastAsia" w:hAnsiTheme="minorEastAsia" w:eastAsiaTheme="minorEastAsia" w:cstheme="minorEastAsia"/>
          <w:b w:val="0"/>
          <w:i w:val="0"/>
          <w:caps w:val="0"/>
          <w:color w:val="auto"/>
          <w:spacing w:val="0"/>
          <w:sz w:val="24"/>
          <w:szCs w:val="24"/>
          <w:shd w:val="clear" w:color="auto" w:fill="FFFFFF"/>
          <w:lang w:eastAsia="zh-CN"/>
        </w:rPr>
        <w:t>单位核定编制5</w:t>
      </w: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人，实有人数4人</w:t>
      </w:r>
      <w:r>
        <w:rPr>
          <w:rFonts w:hint="eastAsia" w:asciiTheme="minorEastAsia" w:hAnsiTheme="minorEastAsia" w:eastAsiaTheme="minorEastAsia" w:cstheme="minorEastAsia"/>
          <w:b w:val="0"/>
          <w:i w:val="0"/>
          <w:caps w:val="0"/>
          <w:color w:val="auto"/>
          <w:spacing w:val="0"/>
          <w:sz w:val="24"/>
          <w:szCs w:val="24"/>
          <w:shd w:val="clear" w:color="auto" w:fill="FFFFFF"/>
        </w:rPr>
        <w:t>。</w:t>
      </w:r>
    </w:p>
    <w:p w14:paraId="775D1C34">
      <w:pPr>
        <w:keepNext w:val="0"/>
        <w:keepLines w:val="0"/>
        <w:pageBreakBefore w:val="0"/>
        <w:kinsoku/>
        <w:wordWrap/>
        <w:overflowPunct/>
        <w:topLinePunct w:val="0"/>
        <w:autoSpaceDE/>
        <w:autoSpaceDN/>
        <w:bidi w:val="0"/>
        <w:adjustRightInd/>
        <w:snapToGrid w:val="0"/>
        <w:spacing w:line="560" w:lineRule="exact"/>
        <w:ind w:firstLine="482" w:firstLineChars="200"/>
        <w:jc w:val="center"/>
        <w:textAlignment w:val="auto"/>
        <w:rPr>
          <w:rFonts w:hint="eastAsia" w:ascii="宋体" w:hAnsi="宋体"/>
          <w:b/>
          <w:color w:val="auto"/>
          <w:sz w:val="24"/>
          <w:szCs w:val="24"/>
          <w:lang w:val="zh-CN"/>
        </w:rPr>
      </w:pPr>
      <w:r>
        <w:rPr>
          <w:rFonts w:hint="eastAsia" w:ascii="宋体" w:hAnsi="宋体"/>
          <w:b/>
          <w:color w:val="auto"/>
          <w:sz w:val="24"/>
          <w:szCs w:val="24"/>
          <w:lang w:val="zh-CN"/>
        </w:rPr>
        <w:t>第二部分2023年度部门决算表</w:t>
      </w:r>
    </w:p>
    <w:p w14:paraId="54D9097B">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79B9CFD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w:t>
      </w:r>
    </w:p>
    <w:p w14:paraId="423C36D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w:t>
      </w:r>
    </w:p>
    <w:p w14:paraId="11FF5975">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1E2144F2">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27C07231">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721A5179">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5D32A186">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0B65F7C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0398EA05">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72BFA377">
      <w:pPr>
        <w:keepNext w:val="0"/>
        <w:keepLines w:val="0"/>
        <w:pageBreakBefore w:val="0"/>
        <w:widowControl/>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04567FA9">
      <w:pPr>
        <w:keepNext w:val="0"/>
        <w:keepLines w:val="0"/>
        <w:pageBreakBefore w:val="0"/>
        <w:widowControl/>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162.36万元。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增加15.65万元,增长10.67%,主要原因是主题活动增加。</w:t>
      </w:r>
    </w:p>
    <w:p w14:paraId="4EC38391">
      <w:pPr>
        <w:keepNext w:val="0"/>
        <w:keepLines w:val="0"/>
        <w:pageBreakBefore w:val="0"/>
        <w:widowControl/>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60B1F4A5">
      <w:pPr>
        <w:keepNext w:val="0"/>
        <w:keepLines w:val="0"/>
        <w:pageBreakBefore w:val="0"/>
        <w:widowControl/>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2023年度收入合计162.36万元,其中：财政拨款收入142.36万元,占87.68%；</w:t>
      </w:r>
      <w:r>
        <w:rPr>
          <w:rFonts w:hint="eastAsia" w:ascii="宋体" w:hAnsi="宋体"/>
          <w:color w:val="auto"/>
          <w:sz w:val="24"/>
          <w:szCs w:val="24"/>
          <w:lang w:val="en-US"/>
        </w:rPr>
        <w:t>其他</w:t>
      </w:r>
      <w:r>
        <w:rPr>
          <w:rFonts w:hint="eastAsia" w:ascii="宋体" w:hAnsi="宋体"/>
          <w:color w:val="auto"/>
          <w:sz w:val="24"/>
          <w:szCs w:val="24"/>
          <w:lang w:val="zh-CN"/>
        </w:rPr>
        <w:t>收入20.00万元,占12.32%；</w:t>
      </w:r>
    </w:p>
    <w:p w14:paraId="63BCA7C4">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4113C944">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2023年度支出合计162.36万元,其中：基本支出72.50万元,占44.66%；项目支出89.86万元,占55.34%；</w:t>
      </w:r>
    </w:p>
    <w:p w14:paraId="7ADC2C33">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0FB4C8C4">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142.36万元。与</w:t>
      </w:r>
      <w:r>
        <w:rPr>
          <w:rFonts w:hint="eastAsia" w:ascii="宋体" w:hAnsi="宋体"/>
          <w:color w:val="auto"/>
          <w:sz w:val="24"/>
          <w:szCs w:val="24"/>
          <w:lang w:val="en-US"/>
        </w:rPr>
        <w:t>上</w:t>
      </w:r>
      <w:r>
        <w:rPr>
          <w:rFonts w:hint="eastAsia" w:ascii="宋体" w:hAnsi="宋体"/>
          <w:color w:val="auto"/>
          <w:sz w:val="24"/>
          <w:szCs w:val="24"/>
          <w:lang w:val="zh-CN"/>
        </w:rPr>
        <w:t>年相比,各增加40.65万元,增长39.97%。主要原因是主题活动增加。</w:t>
      </w:r>
    </w:p>
    <w:p w14:paraId="2238BB50">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456989FB">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2A39578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2023年度一般公共预算财政拨款支出142.36万元,较上年决算数增加51.71万元,增长57.04%。主要原因是主题活动增加。</w:t>
      </w:r>
    </w:p>
    <w:p w14:paraId="6FAAE9D9">
      <w:pPr>
        <w:keepNext w:val="0"/>
        <w:keepLines w:val="0"/>
        <w:pageBreakBefore w:val="0"/>
        <w:numPr>
          <w:ilvl w:val="0"/>
          <w:numId w:val="2"/>
        </w:numPr>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14:paraId="12B13E7C">
      <w:pPr>
        <w:keepNext w:val="0"/>
        <w:keepLines w:val="0"/>
        <w:pageBreakBefore w:val="0"/>
        <w:numPr>
          <w:ilvl w:val="0"/>
          <w:numId w:val="0"/>
        </w:numPr>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142.36万元，主要用于以下方面：一般公共服务支出133.57万元,占93.82%；社会保障和就业支出6.02万元,占4.23%；卫生健康支出2.78万元,占1.95%。</w:t>
      </w:r>
    </w:p>
    <w:p w14:paraId="12886BE1">
      <w:pPr>
        <w:keepNext w:val="0"/>
        <w:keepLines w:val="0"/>
        <w:pageBreakBefore w:val="0"/>
        <w:numPr>
          <w:ilvl w:val="0"/>
          <w:numId w:val="2"/>
        </w:numPr>
        <w:kinsoku/>
        <w:wordWrap/>
        <w:overflowPunct/>
        <w:topLinePunct w:val="0"/>
        <w:autoSpaceDE/>
        <w:autoSpaceDN/>
        <w:bidi w:val="0"/>
        <w:adjustRightInd/>
        <w:snapToGrid w:val="0"/>
        <w:spacing w:line="560" w:lineRule="exact"/>
        <w:ind w:left="0"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14:paraId="63A0E71C">
      <w:pPr>
        <w:keepNext w:val="0"/>
        <w:keepLines w:val="0"/>
        <w:pageBreakBefore w:val="0"/>
        <w:numPr>
          <w:ilvl w:val="0"/>
          <w:numId w:val="0"/>
        </w:numPr>
        <w:kinsoku/>
        <w:wordWrap/>
        <w:overflowPunct/>
        <w:topLinePunct w:val="0"/>
        <w:autoSpaceDE/>
        <w:autoSpaceDN/>
        <w:bidi w:val="0"/>
        <w:adjustRightInd/>
        <w:snapToGrid w:val="0"/>
        <w:spacing w:line="560" w:lineRule="exact"/>
        <w:ind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79.63万元,支出决算为142.36万元,完成年初预算的178.78%。其中：</w:t>
      </w:r>
    </w:p>
    <w:p w14:paraId="262138AD">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年初预算数为67.75万元,支出决算为133.57万元,完成年初预算的197.13%,决算数大于预算数的主要原因是主题活动增加。</w:t>
      </w:r>
    </w:p>
    <w:p w14:paraId="7FA6074F">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．外交支出</w:t>
      </w:r>
      <w:r>
        <w:rPr>
          <w:rFonts w:hint="eastAsia" w:ascii="宋体" w:hAnsi="宋体"/>
          <w:color w:val="auto"/>
          <w:sz w:val="24"/>
          <w:szCs w:val="24"/>
          <w:lang w:val="zh-CN"/>
        </w:rPr>
        <w:t>年初预算数为0.00万元,支出决算为0.00万元,完成年初预算的0.0%。</w:t>
      </w:r>
    </w:p>
    <w:p w14:paraId="7B4893FD">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．国防支出</w:t>
      </w:r>
      <w:r>
        <w:rPr>
          <w:rFonts w:hint="eastAsia" w:ascii="宋体" w:hAnsi="宋体"/>
          <w:color w:val="auto"/>
          <w:sz w:val="24"/>
          <w:szCs w:val="24"/>
          <w:lang w:val="zh-CN"/>
        </w:rPr>
        <w:t>年初预算数为0.00万元,支出决算为0.00万元,完成年初预算的0.0%。</w:t>
      </w:r>
    </w:p>
    <w:p w14:paraId="5E46372E">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年初预算数为0.00万元,支出决算为0.00万元,完成年初预算的0.0%。</w:t>
      </w:r>
    </w:p>
    <w:p w14:paraId="5E6B9B2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年初预算数为0.00万元,支出决算为0.00万元,完成年初预算的0.0%。</w:t>
      </w:r>
    </w:p>
    <w:p w14:paraId="22A617DE">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6</w:t>
      </w:r>
      <w:r>
        <w:rPr>
          <w:rFonts w:hint="eastAsia" w:ascii="宋体" w:hAnsi="宋体"/>
          <w:b/>
          <w:color w:val="auto"/>
          <w:sz w:val="24"/>
          <w:szCs w:val="24"/>
          <w:lang w:val="zh-CN"/>
        </w:rPr>
        <w:t>．科学技术支出</w:t>
      </w:r>
      <w:r>
        <w:rPr>
          <w:rFonts w:hint="eastAsia" w:ascii="宋体" w:hAnsi="宋体"/>
          <w:color w:val="auto"/>
          <w:sz w:val="24"/>
          <w:szCs w:val="24"/>
          <w:lang w:val="zh-CN"/>
        </w:rPr>
        <w:t>年初预算数为0.00万元,支出决算为0.00万元,完成年初预算的0.0%。</w:t>
      </w:r>
    </w:p>
    <w:p w14:paraId="7F515566">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7</w:t>
      </w:r>
      <w:r>
        <w:rPr>
          <w:rFonts w:hint="eastAsia" w:ascii="宋体" w:hAnsi="宋体"/>
          <w:b/>
          <w:color w:val="auto"/>
          <w:sz w:val="24"/>
          <w:szCs w:val="24"/>
          <w:lang w:val="zh-CN"/>
        </w:rPr>
        <w:t>．文化旅游体育与传媒支出</w:t>
      </w:r>
      <w:r>
        <w:rPr>
          <w:rFonts w:hint="eastAsia" w:ascii="宋体" w:hAnsi="宋体"/>
          <w:color w:val="auto"/>
          <w:sz w:val="24"/>
          <w:szCs w:val="24"/>
          <w:lang w:val="zh-CN"/>
        </w:rPr>
        <w:t>年初预算数为0.00万元,支出决算为0.00万元,完成年初预算的0.0%。</w:t>
      </w:r>
    </w:p>
    <w:p w14:paraId="769F8B7E">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8</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年初预算数为9.03万元,支出决算为6.02万元,完成年初预算的66.69%,决算数小于预算数的主要原因是有人员调出。</w:t>
      </w:r>
    </w:p>
    <w:p w14:paraId="78660579">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9</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年初预算数为2.85万元,支出决算为2.78万元,完成年初预算的97.38%,决算数小于预算数的主要原因是有人员调出。</w:t>
      </w:r>
    </w:p>
    <w:p w14:paraId="29114F7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10</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年初预算数为0.00万元,支出决算为0.00万元,完成年初预算的0.0%。</w:t>
      </w:r>
    </w:p>
    <w:p w14:paraId="77B9642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11</w:t>
      </w:r>
      <w:r>
        <w:rPr>
          <w:rFonts w:hint="eastAsia" w:ascii="宋体" w:hAnsi="宋体"/>
          <w:b/>
          <w:color w:val="auto"/>
          <w:sz w:val="24"/>
          <w:szCs w:val="24"/>
          <w:lang w:val="zh-CN"/>
        </w:rPr>
        <w:t>．城乡社区支出</w:t>
      </w:r>
      <w:r>
        <w:rPr>
          <w:rFonts w:hint="eastAsia" w:ascii="宋体" w:hAnsi="宋体"/>
          <w:color w:val="auto"/>
          <w:sz w:val="24"/>
          <w:szCs w:val="24"/>
          <w:lang w:val="zh-CN"/>
        </w:rPr>
        <w:t>年初预算数为0.00万元,支出决算为0.00万元,完成年初预算的0.0%。</w:t>
      </w:r>
    </w:p>
    <w:p w14:paraId="69858A3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12</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4411A2D2">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13</w:t>
      </w:r>
      <w:r>
        <w:rPr>
          <w:rFonts w:hint="eastAsia" w:ascii="宋体" w:hAnsi="宋体"/>
          <w:b/>
          <w:color w:val="auto"/>
          <w:sz w:val="24"/>
          <w:szCs w:val="24"/>
          <w:lang w:val="zh-CN"/>
        </w:rPr>
        <w:t>．交通运输支出</w:t>
      </w:r>
      <w:r>
        <w:rPr>
          <w:rFonts w:hint="eastAsia" w:ascii="宋体" w:hAnsi="宋体"/>
          <w:color w:val="auto"/>
          <w:sz w:val="24"/>
          <w:szCs w:val="24"/>
          <w:lang w:val="zh-CN"/>
        </w:rPr>
        <w:t>年初预算数为0.00万元,支出决算为0.00万元,完成年初预算的0.0%。</w:t>
      </w:r>
    </w:p>
    <w:p w14:paraId="3C3B3035">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14</w:t>
      </w:r>
      <w:r>
        <w:rPr>
          <w:rFonts w:hint="eastAsia" w:ascii="宋体" w:hAnsi="宋体"/>
          <w:b/>
          <w:color w:val="auto"/>
          <w:sz w:val="24"/>
          <w:szCs w:val="24"/>
          <w:lang w:val="zh-CN"/>
        </w:rPr>
        <w:t>．资源勘探工业信息等支出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6BF98D17">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15</w:t>
      </w:r>
      <w:r>
        <w:rPr>
          <w:rFonts w:hint="eastAsia" w:ascii="宋体" w:hAnsi="宋体"/>
          <w:b/>
          <w:color w:val="auto"/>
          <w:sz w:val="24"/>
          <w:szCs w:val="24"/>
          <w:lang w:val="zh-CN"/>
        </w:rPr>
        <w:t>．商业服务业等支出</w:t>
      </w:r>
      <w:r>
        <w:rPr>
          <w:rFonts w:hint="eastAsia" w:ascii="宋体" w:hAnsi="宋体"/>
          <w:color w:val="auto"/>
          <w:sz w:val="24"/>
          <w:szCs w:val="24"/>
          <w:lang w:val="zh-CN"/>
        </w:rPr>
        <w:t>年初预算数为0.00万元,支出决算为0.00万元,完成年初预算的0.0%。</w:t>
      </w:r>
    </w:p>
    <w:p w14:paraId="57D9F147">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16</w:t>
      </w:r>
      <w:r>
        <w:rPr>
          <w:rFonts w:hint="eastAsia" w:ascii="宋体" w:hAnsi="宋体"/>
          <w:b/>
          <w:color w:val="auto"/>
          <w:sz w:val="24"/>
          <w:szCs w:val="24"/>
          <w:lang w:val="zh-CN"/>
        </w:rPr>
        <w:t>．金融支出</w:t>
      </w:r>
      <w:r>
        <w:rPr>
          <w:rFonts w:hint="eastAsia" w:ascii="宋体" w:hAnsi="宋体"/>
          <w:color w:val="auto"/>
          <w:sz w:val="24"/>
          <w:szCs w:val="24"/>
          <w:lang w:val="zh-CN"/>
        </w:rPr>
        <w:t>年初预算数为0.00万元,支出决算为0.00万元,完成年初预算的0.0%。</w:t>
      </w:r>
    </w:p>
    <w:p w14:paraId="6D53828B">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highlight w:val="red"/>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7</w:t>
      </w:r>
      <w:r>
        <w:rPr>
          <w:rFonts w:hint="eastAsia" w:ascii="宋体" w:hAnsi="宋体"/>
          <w:b/>
          <w:color w:val="auto"/>
          <w:sz w:val="24"/>
          <w:szCs w:val="24"/>
          <w:lang w:val="zh-CN"/>
        </w:rPr>
        <w:t>．自然资源海洋气象等支出</w:t>
      </w:r>
      <w:r>
        <w:rPr>
          <w:rFonts w:hint="eastAsia" w:ascii="宋体" w:hAnsi="宋体"/>
          <w:color w:val="auto"/>
          <w:sz w:val="24"/>
          <w:szCs w:val="24"/>
          <w:lang w:val="zh-CN"/>
        </w:rPr>
        <w:t>年初预算数为0.00万元,支出决算为0.00万元,完成年初预算的0.0%</w:t>
      </w:r>
      <w:r>
        <w:rPr>
          <w:rFonts w:hint="eastAsia" w:ascii="宋体" w:hAnsi="宋体"/>
          <w:color w:val="auto"/>
          <w:sz w:val="24"/>
          <w:szCs w:val="24"/>
          <w:highlight w:val="white"/>
          <w:lang w:val="zh-CN"/>
        </w:rPr>
        <w:t>。</w:t>
      </w:r>
    </w:p>
    <w:p w14:paraId="3050217F">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8</w:t>
      </w:r>
      <w:r>
        <w:rPr>
          <w:rFonts w:hint="eastAsia" w:ascii="宋体" w:hAnsi="宋体"/>
          <w:b/>
          <w:color w:val="auto"/>
          <w:sz w:val="24"/>
          <w:szCs w:val="24"/>
          <w:lang w:val="zh-CN"/>
        </w:rPr>
        <w:t>．住房保障支出</w:t>
      </w:r>
      <w:r>
        <w:rPr>
          <w:rFonts w:hint="eastAsia" w:ascii="宋体" w:hAnsi="宋体"/>
          <w:color w:val="auto"/>
          <w:sz w:val="24"/>
          <w:szCs w:val="24"/>
          <w:lang w:val="zh-CN"/>
        </w:rPr>
        <w:t>年初预算数为0.00万元,支出决算为0.00万元,完成年初预算的0.0%。</w:t>
      </w:r>
    </w:p>
    <w:p w14:paraId="1EE5513B">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en-US" w:eastAsia="zh-CN"/>
        </w:rPr>
        <w:t>19</w:t>
      </w:r>
      <w:r>
        <w:rPr>
          <w:rFonts w:hint="eastAsia" w:ascii="宋体" w:hAnsi="宋体"/>
          <w:b/>
          <w:color w:val="auto"/>
          <w:sz w:val="24"/>
          <w:szCs w:val="24"/>
          <w:lang w:val="zh-CN"/>
        </w:rPr>
        <w:t>．粮油物资储备支出</w:t>
      </w:r>
      <w:r>
        <w:rPr>
          <w:rFonts w:hint="eastAsia" w:ascii="宋体" w:hAnsi="宋体"/>
          <w:color w:val="auto"/>
          <w:sz w:val="24"/>
          <w:szCs w:val="24"/>
          <w:lang w:val="zh-CN"/>
        </w:rPr>
        <w:t>年初预算数为0.00万元,支出决算为0.00万元,完成年初预算的0.0%。</w:t>
      </w:r>
    </w:p>
    <w:p w14:paraId="3B780CA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0</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年初预算数为0.00万元,支出决算为0.00万元,完成年初预算的0.0%。</w:t>
      </w:r>
    </w:p>
    <w:p w14:paraId="091BFCCE">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1</w:t>
      </w:r>
      <w:r>
        <w:rPr>
          <w:rFonts w:hint="eastAsia" w:ascii="宋体" w:hAnsi="宋体"/>
          <w:b/>
          <w:color w:val="auto"/>
          <w:sz w:val="24"/>
          <w:szCs w:val="24"/>
          <w:lang w:val="zh-CN"/>
        </w:rPr>
        <w:t>．其他支出</w:t>
      </w:r>
      <w:r>
        <w:rPr>
          <w:rFonts w:hint="eastAsia" w:ascii="宋体" w:hAnsi="宋体"/>
          <w:color w:val="auto"/>
          <w:sz w:val="24"/>
          <w:szCs w:val="24"/>
          <w:lang w:val="zh-CN"/>
        </w:rPr>
        <w:t>年初预算数为0.00万元,支出决算为0.00万元,完成年初预算的0.0%。</w:t>
      </w:r>
    </w:p>
    <w:p w14:paraId="3966870C">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2</w:t>
      </w:r>
      <w:r>
        <w:rPr>
          <w:rFonts w:hint="eastAsia" w:ascii="宋体" w:hAnsi="宋体"/>
          <w:b/>
          <w:color w:val="auto"/>
          <w:sz w:val="24"/>
          <w:szCs w:val="24"/>
          <w:lang w:val="zh-CN"/>
        </w:rPr>
        <w:t>．债务还本支出</w:t>
      </w:r>
      <w:r>
        <w:rPr>
          <w:rFonts w:hint="eastAsia" w:ascii="宋体" w:hAnsi="宋体"/>
          <w:color w:val="auto"/>
          <w:sz w:val="24"/>
          <w:szCs w:val="24"/>
          <w:lang w:val="zh-CN"/>
        </w:rPr>
        <w:t>年初预算数为0.00万元,支出决算为0.00万元,完成年初预算的0.0%。</w:t>
      </w:r>
    </w:p>
    <w:p w14:paraId="402C0C0B">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3</w:t>
      </w:r>
      <w:r>
        <w:rPr>
          <w:rFonts w:hint="eastAsia" w:ascii="宋体" w:hAnsi="宋体"/>
          <w:b/>
          <w:color w:val="auto"/>
          <w:sz w:val="24"/>
          <w:szCs w:val="24"/>
          <w:lang w:val="zh-CN"/>
        </w:rPr>
        <w:t>．债务付息支出</w:t>
      </w:r>
      <w:r>
        <w:rPr>
          <w:rFonts w:hint="eastAsia" w:ascii="宋体" w:hAnsi="宋体"/>
          <w:color w:val="auto"/>
          <w:sz w:val="24"/>
          <w:szCs w:val="24"/>
          <w:lang w:val="zh-CN"/>
        </w:rPr>
        <w:t>年初预算数为0.00万元,支出决算为0.00万元,完成年初预算的0.0%。</w:t>
      </w:r>
    </w:p>
    <w:p w14:paraId="5F4D3099">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4</w:t>
      </w:r>
      <w:r>
        <w:rPr>
          <w:rFonts w:hint="eastAsia" w:ascii="宋体" w:hAnsi="宋体"/>
          <w:b/>
          <w:color w:val="auto"/>
          <w:sz w:val="24"/>
          <w:szCs w:val="24"/>
          <w:lang w:val="zh-CN"/>
        </w:rPr>
        <w:t>．抗疫特别国债安排的支出</w:t>
      </w:r>
      <w:r>
        <w:rPr>
          <w:rFonts w:hint="eastAsia" w:ascii="宋体" w:hAnsi="宋体"/>
          <w:color w:val="auto"/>
          <w:sz w:val="24"/>
          <w:szCs w:val="24"/>
          <w:lang w:val="zh-CN"/>
        </w:rPr>
        <w:t>年初预算数为0.00万元,支出决算为0.00万元,完成年初预算的0.0%。</w:t>
      </w:r>
    </w:p>
    <w:p w14:paraId="394841F0">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63049CB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2023年度一般公共预算财政拨款基本支出72.50万元。其中：</w:t>
      </w:r>
    </w:p>
    <w:p w14:paraId="6DD7B41E">
      <w:pPr>
        <w:keepNext w:val="0"/>
        <w:keepLines w:val="0"/>
        <w:pageBreakBefore w:val="0"/>
        <w:widowControl/>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67.02万元,较上年决算数增加14.59万元,增长27.84%,主要原因是工资福利增加。人员经费用途主要包括基本工资、津贴补贴、奖金、社会保障缴费等。</w:t>
      </w:r>
    </w:p>
    <w:p w14:paraId="13256405">
      <w:pPr>
        <w:keepNext w:val="0"/>
        <w:keepLines w:val="0"/>
        <w:pageBreakBefore w:val="0"/>
        <w:widowControl/>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5.48万元,较上年决算数减少7.74万元,下降58.55%,主要原因是未能及时支付。公用经费用途主要包括办公费、印刷费、差旅费、水电费等。</w:t>
      </w:r>
    </w:p>
    <w:p w14:paraId="311954F4">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7046C37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56334CBD">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color w:val="auto"/>
          <w:sz w:val="24"/>
          <w:szCs w:val="24"/>
          <w:lang w:val="en-US" w:eastAsia="zh-CN"/>
        </w:rPr>
        <w:t>万元</w:t>
      </w:r>
      <w:r>
        <w:rPr>
          <w:rFonts w:hint="eastAsia" w:ascii="宋体" w:hAnsi="宋体"/>
          <w:color w:val="auto"/>
          <w:sz w:val="24"/>
          <w:szCs w:val="24"/>
          <w:lang w:val="zh-CN"/>
        </w:rPr>
        <w:t>。</w:t>
      </w:r>
    </w:p>
    <w:p w14:paraId="22374A0B">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62583D65">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622381A4">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2023年度国有资本经营预算财政拨款本年支出0.00万元。</w:t>
      </w:r>
    </w:p>
    <w:p w14:paraId="724567CD">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1E095ABB">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我单位属于群团组织,财政未保障我单位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724F4877">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4DA965E6">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31411821">
      <w:pPr>
        <w:keepNext w:val="0"/>
        <w:keepLines w:val="0"/>
        <w:pageBreakBefore w:val="0"/>
        <w:numPr>
          <w:ilvl w:val="0"/>
          <w:numId w:val="3"/>
        </w:numPr>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4F4681D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1C9D222C">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2F800C30">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3B8AD361">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10896FBF">
      <w:pPr>
        <w:keepNext w:val="0"/>
        <w:keepLines w:val="0"/>
        <w:pageBreakBefore w:val="0"/>
        <w:numPr>
          <w:ilvl w:val="0"/>
          <w:numId w:val="0"/>
        </w:numPr>
        <w:kinsoku/>
        <w:wordWrap/>
        <w:overflowPunct/>
        <w:topLinePunct w:val="0"/>
        <w:autoSpaceDE/>
        <w:autoSpaceDN/>
        <w:bidi w:val="0"/>
        <w:adjustRightInd/>
        <w:snapToGrid w:val="0"/>
        <w:spacing w:line="560" w:lineRule="exact"/>
        <w:jc w:val="left"/>
        <w:textAlignment w:val="auto"/>
        <w:rPr>
          <w:rFonts w:hint="eastAsia" w:ascii="宋体" w:hAnsi="宋体"/>
          <w:color w:val="auto"/>
          <w:sz w:val="24"/>
          <w:szCs w:val="24"/>
          <w:lang w:val="zh-CN"/>
        </w:rPr>
      </w:pPr>
      <w:r>
        <w:rPr>
          <w:rFonts w:hint="eastAsia" w:ascii="宋体" w:hAnsi="宋体"/>
          <w:b/>
          <w:color w:val="auto"/>
          <w:sz w:val="24"/>
          <w:szCs w:val="24"/>
          <w:lang w:val="en-US" w:eastAsia="zh-CN"/>
        </w:rPr>
        <w:t xml:space="preserve">    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17F4BBEA">
      <w:pPr>
        <w:keepNext w:val="0"/>
        <w:keepLines w:val="0"/>
        <w:pageBreakBefore w:val="0"/>
        <w:numPr>
          <w:ilvl w:val="0"/>
          <w:numId w:val="0"/>
        </w:numPr>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外事接待费支出0.00万元。</w:t>
      </w:r>
    </w:p>
    <w:p w14:paraId="36C17904">
      <w:pPr>
        <w:keepNext w:val="0"/>
        <w:keepLines w:val="0"/>
        <w:pageBreakBefore w:val="0"/>
        <w:numPr>
          <w:ilvl w:val="0"/>
          <w:numId w:val="0"/>
        </w:numPr>
        <w:kinsoku/>
        <w:wordWrap/>
        <w:overflowPunct/>
        <w:topLinePunct w:val="0"/>
        <w:autoSpaceDE/>
        <w:autoSpaceDN/>
        <w:bidi w:val="0"/>
        <w:adjustRightInd/>
        <w:snapToGrid w:val="0"/>
        <w:spacing w:line="560" w:lineRule="exact"/>
        <w:ind w:firstLine="480" w:firstLineChars="200"/>
        <w:jc w:val="lef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0.00万元。</w:t>
      </w:r>
    </w:p>
    <w:p w14:paraId="62FEDB1D">
      <w:pPr>
        <w:keepNext w:val="0"/>
        <w:keepLines w:val="0"/>
        <w:pageBreakBefore w:val="0"/>
        <w:widowControl/>
        <w:numPr>
          <w:ilvl w:val="0"/>
          <w:numId w:val="3"/>
        </w:numPr>
        <w:kinsoku/>
        <w:wordWrap/>
        <w:overflowPunct/>
        <w:topLinePunct w:val="0"/>
        <w:autoSpaceDE/>
        <w:autoSpaceDN/>
        <w:bidi w:val="0"/>
        <w:adjustRightInd/>
        <w:snapToGrid w:val="0"/>
        <w:spacing w:line="560" w:lineRule="exact"/>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43A14473">
      <w:pPr>
        <w:keepNext w:val="0"/>
        <w:keepLines w:val="0"/>
        <w:pageBreakBefore w:val="0"/>
        <w:widowControl/>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27FF86D2">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6FE031CA">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2023年度本部门机关运行经费支出5.48万元,机关运行经费主要用于开支办公费、印刷费、水电费、邮电费等。机关运行经费较上年决算数减少7.74万元,下降58.55%,主要原因是公用经费未能及时支出。</w:t>
      </w:r>
    </w:p>
    <w:p w14:paraId="79D6C0B1">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本年度会议费支出0.00万元,较上年决算数减少0.0万元,下降</w:t>
      </w:r>
      <w:r>
        <w:rPr>
          <w:rFonts w:hint="eastAsia" w:ascii="宋体" w:hAnsi="宋体"/>
          <w:color w:val="auto"/>
          <w:sz w:val="24"/>
          <w:szCs w:val="24"/>
          <w:lang w:val="en-US" w:eastAsia="zh-CN"/>
        </w:rPr>
        <w:t>0</w:t>
      </w:r>
      <w:r>
        <w:rPr>
          <w:rFonts w:hint="eastAsia" w:ascii="宋体" w:hAnsi="宋体"/>
          <w:color w:val="auto"/>
          <w:sz w:val="24"/>
          <w:szCs w:val="24"/>
          <w:lang w:val="zh-CN"/>
        </w:rPr>
        <w:t>%。本年度培训费支出29.86万元,较上年决算数增加29.86万元,增长</w:t>
      </w:r>
      <w:r>
        <w:rPr>
          <w:rFonts w:hint="eastAsia" w:ascii="宋体" w:hAnsi="宋体"/>
          <w:color w:val="auto"/>
          <w:sz w:val="24"/>
          <w:szCs w:val="24"/>
          <w:lang w:val="en-US" w:eastAsia="zh-CN"/>
        </w:rPr>
        <w:t>100</w:t>
      </w:r>
      <w:r>
        <w:rPr>
          <w:rFonts w:hint="eastAsia" w:ascii="宋体" w:hAnsi="宋体"/>
          <w:color w:val="auto"/>
          <w:sz w:val="24"/>
          <w:szCs w:val="24"/>
          <w:lang w:val="zh-CN"/>
        </w:rPr>
        <w:t>%,主要原因是组织实施就业技能培训班。</w:t>
      </w:r>
    </w:p>
    <w:p w14:paraId="23422D8B">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5E67D625">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26EC2160">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54CD3413">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0C49E9DA">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7636B9C8">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2E1779E5">
      <w:pPr>
        <w:keepNext w:val="0"/>
        <w:keepLines w:val="0"/>
        <w:pageBreakBefore w:val="0"/>
        <w:kinsoku/>
        <w:wordWrap/>
        <w:overflowPunct/>
        <w:topLinePunct w:val="0"/>
        <w:autoSpaceDE/>
        <w:autoSpaceDN/>
        <w:bidi w:val="0"/>
        <w:adjustRightInd/>
        <w:snapToGrid w:val="0"/>
        <w:spacing w:line="560" w:lineRule="exact"/>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7838C14F">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57C9B4A0">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仿宋_GB2312" w:hAnsi="仿宋_GB2312" w:eastAsia="仿宋_GB2312" w:cs="仿宋_GB2312"/>
          <w:color w:val="auto"/>
          <w:sz w:val="24"/>
          <w:szCs w:val="24"/>
          <w:lang w:val="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w:t>
      </w:r>
      <w:r>
        <w:rPr>
          <w:rFonts w:hint="eastAsia" w:ascii="宋体" w:hAnsi="宋体" w:cs="宋体"/>
          <w:color w:val="auto"/>
          <w:kern w:val="0"/>
          <w:sz w:val="24"/>
          <w:szCs w:val="24"/>
          <w:lang w:val="en-US" w:eastAsia="zh-CN"/>
        </w:rPr>
        <w:t>有</w:t>
      </w:r>
      <w:r>
        <w:rPr>
          <w:rFonts w:hint="eastAsia" w:ascii="宋体" w:hAnsi="宋体" w:eastAsia="宋体" w:cs="宋体"/>
          <w:color w:val="auto"/>
          <w:kern w:val="0"/>
          <w:sz w:val="24"/>
          <w:szCs w:val="24"/>
          <w:lang w:val="en-US"/>
        </w:rPr>
        <w:t>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rPr>
        <w:t>政府性基金预算项目</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rPr>
        <w:t>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,占政府性基金预算项目支出总额的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rPr>
        <w:t>国有资本经营预算项目</w:t>
      </w:r>
      <w:r>
        <w:rPr>
          <w:rFonts w:hint="eastAsia" w:ascii="宋体" w:hAnsi="宋体" w:cs="宋体"/>
          <w:color w:val="auto"/>
          <w:kern w:val="0"/>
          <w:sz w:val="24"/>
          <w:szCs w:val="24"/>
          <w:lang w:val="en-US" w:eastAsia="zh-CN"/>
        </w:rPr>
        <w:t>0个</w:t>
      </w:r>
      <w:r>
        <w:rPr>
          <w:rFonts w:hint="eastAsia" w:ascii="宋体" w:hAnsi="宋体" w:eastAsia="宋体" w:cs="宋体"/>
          <w:color w:val="auto"/>
          <w:kern w:val="0"/>
          <w:sz w:val="24"/>
          <w:szCs w:val="24"/>
          <w:lang w:val="en-US"/>
        </w:rPr>
        <w:t>,涉及资金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,占国有资本经营预算项目支出总额的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，未</w:t>
      </w:r>
      <w:r>
        <w:rPr>
          <w:rFonts w:hint="eastAsia" w:ascii="宋体" w:hAnsi="宋体" w:eastAsia="宋体" w:cs="宋体"/>
          <w:color w:val="auto"/>
          <w:kern w:val="0"/>
          <w:sz w:val="24"/>
          <w:szCs w:val="24"/>
          <w:lang w:val="en-US"/>
        </w:rPr>
        <w:t>开展绩效自评。组织对“</w:t>
      </w:r>
      <w:r>
        <w:rPr>
          <w:rFonts w:hint="eastAsia" w:ascii="宋体" w:hAnsi="宋体" w:cs="宋体"/>
          <w:color w:val="auto"/>
          <w:kern w:val="0"/>
          <w:sz w:val="24"/>
          <w:szCs w:val="24"/>
          <w:lang w:val="en-US" w:eastAsia="zh-CN"/>
        </w:rPr>
        <w:t>乡村振兴青年人才培训</w:t>
      </w:r>
      <w:r>
        <w:rPr>
          <w:rFonts w:hint="eastAsia" w:ascii="宋体" w:hAnsi="宋体" w:eastAsia="宋体" w:cs="宋体"/>
          <w:color w:val="auto"/>
          <w:kern w:val="0"/>
          <w:sz w:val="24"/>
          <w:szCs w:val="24"/>
          <w:lang w:val="en-US"/>
        </w:rPr>
        <w:t>”项目开展了部门评价,涉及一般公共预算支出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,政府性基金预算支出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,国有资本经营预算支出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。从评价情况来看,</w:t>
      </w:r>
      <w:r>
        <w:rPr>
          <w:rFonts w:hint="eastAsia" w:ascii="宋体" w:hAnsi="宋体" w:cs="宋体"/>
          <w:color w:val="auto"/>
          <w:kern w:val="0"/>
          <w:sz w:val="24"/>
          <w:szCs w:val="24"/>
          <w:lang w:val="en-US" w:eastAsia="zh-CN"/>
        </w:rPr>
        <w:t>培训达到了预期效果，被评定为“优”</w:t>
      </w:r>
      <w:r>
        <w:rPr>
          <w:rFonts w:hint="eastAsia" w:ascii="宋体" w:hAnsi="宋体" w:eastAsia="宋体" w:cs="宋体"/>
          <w:color w:val="auto"/>
          <w:kern w:val="0"/>
          <w:sz w:val="24"/>
          <w:szCs w:val="24"/>
          <w:lang w:val="en-US"/>
        </w:rPr>
        <w:t>。</w:t>
      </w:r>
    </w:p>
    <w:p w14:paraId="0FCD2437">
      <w:pPr>
        <w:keepNext w:val="0"/>
        <w:keepLines w:val="0"/>
        <w:pageBreakBefore w:val="0"/>
        <w:numPr>
          <w:ilvl w:val="0"/>
          <w:numId w:val="4"/>
        </w:numPr>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绩效自评结果</w:t>
      </w:r>
    </w:p>
    <w:p w14:paraId="0ADF7B3E">
      <w:pPr>
        <w:keepNext w:val="0"/>
        <w:keepLines w:val="0"/>
        <w:pageBreakBefore w:val="0"/>
        <w:widowControl/>
        <w:numPr>
          <w:ilvl w:val="0"/>
          <w:numId w:val="0"/>
        </w:numPr>
        <w:kinsoku/>
        <w:wordWrap/>
        <w:overflowPunct/>
        <w:topLinePunct w:val="0"/>
        <w:autoSpaceDE/>
        <w:autoSpaceDN/>
        <w:bidi w:val="0"/>
        <w:adjustRightInd/>
        <w:snapToGrid w:val="0"/>
        <w:spacing w:line="560" w:lineRule="exact"/>
        <w:jc w:val="left"/>
        <w:textAlignment w:val="auto"/>
        <w:rPr>
          <w:rFonts w:hint="eastAsia" w:ascii="宋体" w:hAnsi="宋体" w:eastAsia="宋体" w:cs="宋体"/>
          <w:color w:val="auto"/>
          <w:kern w:val="0"/>
          <w:sz w:val="24"/>
          <w:szCs w:val="24"/>
          <w:highlight w:val="none"/>
          <w:lang w:val="en-US"/>
        </w:rPr>
      </w:pP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乡村振兴青年人才培训</w:t>
      </w:r>
      <w:r>
        <w:rPr>
          <w:rFonts w:hint="eastAsia" w:ascii="宋体" w:hAnsi="宋体" w:eastAsia="宋体" w:cs="宋体"/>
          <w:color w:val="auto"/>
          <w:kern w:val="0"/>
          <w:sz w:val="24"/>
          <w:szCs w:val="24"/>
          <w:lang w:val="en-US"/>
        </w:rPr>
        <w:t>”</w:t>
      </w:r>
      <w:r>
        <w:rPr>
          <w:rFonts w:hint="eastAsia" w:ascii="宋体" w:hAnsi="宋体" w:eastAsia="宋体" w:cs="宋体"/>
          <w:color w:val="auto"/>
          <w:kern w:val="0"/>
          <w:sz w:val="24"/>
          <w:szCs w:val="24"/>
          <w:highlight w:val="none"/>
          <w:lang w:val="en-US"/>
        </w:rPr>
        <w:t>项目绩效自评结果。</w:t>
      </w:r>
    </w:p>
    <w:p w14:paraId="528F93D4">
      <w:pPr>
        <w:keepNext w:val="0"/>
        <w:keepLines w:val="0"/>
        <w:pageBreakBefore w:val="0"/>
        <w:widowControl/>
        <w:numPr>
          <w:ilvl w:val="0"/>
          <w:numId w:val="0"/>
        </w:numPr>
        <w:kinsoku/>
        <w:wordWrap/>
        <w:overflowPunct/>
        <w:topLinePunct w:val="0"/>
        <w:autoSpaceDE/>
        <w:autoSpaceDN/>
        <w:bidi w:val="0"/>
        <w:adjustRightInd/>
        <w:snapToGrid w:val="0"/>
        <w:spacing w:line="560" w:lineRule="exact"/>
        <w:jc w:val="left"/>
        <w:textAlignment w:val="auto"/>
        <w:rPr>
          <w:rFonts w:hint="eastAsia" w:ascii="宋体" w:hAnsi="宋体" w:eastAsia="宋体" w:cs="宋体"/>
          <w:color w:val="auto"/>
          <w:kern w:val="0"/>
          <w:sz w:val="24"/>
          <w:szCs w:val="24"/>
          <w:lang w:val="en-US"/>
        </w:rPr>
      </w:pP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乡村振兴青年人才培训</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%。项目绩效目标完成情况：一是</w:t>
      </w:r>
      <w:r>
        <w:rPr>
          <w:rFonts w:hint="eastAsia" w:ascii="宋体" w:hAnsi="宋体" w:cs="宋体"/>
          <w:color w:val="auto"/>
          <w:kern w:val="0"/>
          <w:sz w:val="24"/>
          <w:szCs w:val="24"/>
          <w:lang w:val="en-US" w:eastAsia="zh-CN"/>
        </w:rPr>
        <w:t>完成培训人数50人</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完成培训天数≥9天；三是完成预算投资支付20万元</w:t>
      </w:r>
      <w:r>
        <w:rPr>
          <w:rFonts w:hint="eastAsia" w:ascii="宋体" w:hAnsi="宋体" w:eastAsia="宋体" w:cs="宋体"/>
          <w:color w:val="auto"/>
          <w:kern w:val="0"/>
          <w:sz w:val="24"/>
          <w:szCs w:val="24"/>
          <w:lang w:val="en-US"/>
        </w:rPr>
        <w:t>。发现的主要问题及原因：</w:t>
      </w:r>
      <w:r>
        <w:rPr>
          <w:rFonts w:hint="eastAsia" w:ascii="宋体" w:hAnsi="宋体" w:cs="宋体"/>
          <w:color w:val="auto"/>
          <w:kern w:val="0"/>
          <w:sz w:val="24"/>
          <w:szCs w:val="24"/>
          <w:lang w:val="en-US" w:eastAsia="zh-CN"/>
        </w:rPr>
        <w:t>无</w:t>
      </w:r>
      <w:r>
        <w:rPr>
          <w:rFonts w:hint="eastAsia" w:ascii="宋体" w:hAnsi="宋体" w:eastAsia="宋体" w:cs="宋体"/>
          <w:color w:val="auto"/>
          <w:kern w:val="0"/>
          <w:sz w:val="24"/>
          <w:szCs w:val="24"/>
          <w:lang w:val="en-US"/>
        </w:rPr>
        <w:t>。下一步改进措施：</w:t>
      </w:r>
      <w:r>
        <w:rPr>
          <w:rFonts w:hint="eastAsia" w:ascii="宋体" w:hAnsi="宋体" w:cs="宋体"/>
          <w:color w:val="auto"/>
          <w:kern w:val="0"/>
          <w:sz w:val="24"/>
          <w:szCs w:val="24"/>
          <w:lang w:val="en-US" w:eastAsia="zh-CN"/>
        </w:rPr>
        <w:t>无</w:t>
      </w:r>
      <w:r>
        <w:rPr>
          <w:rFonts w:hint="eastAsia" w:ascii="宋体" w:hAnsi="宋体" w:eastAsia="宋体" w:cs="宋体"/>
          <w:color w:val="auto"/>
          <w:kern w:val="0"/>
          <w:sz w:val="24"/>
          <w:szCs w:val="24"/>
          <w:lang w:val="en-US"/>
        </w:rPr>
        <w:t>。</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乡村振兴青年人才培训</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评定为“优”</w:t>
      </w:r>
      <w:r>
        <w:rPr>
          <w:rFonts w:hint="eastAsia" w:ascii="宋体" w:hAnsi="宋体" w:eastAsia="宋体" w:cs="宋体"/>
          <w:color w:val="auto"/>
          <w:kern w:val="0"/>
          <w:sz w:val="24"/>
          <w:szCs w:val="24"/>
          <w:lang w:val="en-US"/>
        </w:rPr>
        <w:t>。</w:t>
      </w:r>
      <w:bookmarkStart w:id="0" w:name="_GoBack"/>
      <w:bookmarkEnd w:id="0"/>
    </w:p>
    <w:p w14:paraId="00A858E1">
      <w:pPr>
        <w:keepNext w:val="0"/>
        <w:keepLines w:val="0"/>
        <w:pageBreakBefore w:val="0"/>
        <w:kinsoku/>
        <w:wordWrap/>
        <w:overflowPunct/>
        <w:topLinePunct w:val="0"/>
        <w:autoSpaceDE/>
        <w:autoSpaceDN/>
        <w:bidi w:val="0"/>
        <w:adjustRightInd/>
        <w:snapToGrid w:val="0"/>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69D4B5B8">
      <w:pPr>
        <w:keepNext w:val="0"/>
        <w:keepLines w:val="0"/>
        <w:pageBreakBefore w:val="0"/>
        <w:kinsoku/>
        <w:wordWrap/>
        <w:overflowPunct/>
        <w:topLinePunct w:val="0"/>
        <w:autoSpaceDE/>
        <w:autoSpaceDN/>
        <w:bidi w:val="0"/>
        <w:adjustRightInd/>
        <w:snapToGrid w:val="0"/>
        <w:spacing w:line="560" w:lineRule="exact"/>
        <w:ind w:firstLine="480" w:firstLineChars="200"/>
        <w:jc w:val="left"/>
        <w:textAlignment w:val="auto"/>
        <w:rPr>
          <w:rFonts w:hint="eastAsia" w:ascii="宋体" w:hAnsi="宋体"/>
          <w:b/>
          <w:bCs/>
          <w:color w:val="auto"/>
          <w:sz w:val="24"/>
          <w:szCs w:val="24"/>
          <w:lang w:val="zh-CN" w:eastAsia="zh-CN"/>
        </w:rPr>
      </w:pPr>
      <w:r>
        <w:rPr>
          <w:rFonts w:hint="eastAsia" w:asciiTheme="minorEastAsia" w:hAnsiTheme="minorEastAsia" w:eastAsiaTheme="minorEastAsia" w:cstheme="minorEastAsia"/>
          <w:color w:val="auto"/>
          <w:sz w:val="24"/>
          <w:szCs w:val="24"/>
          <w:lang w:val="zh-CN"/>
        </w:rPr>
        <w:t>评定为“优”</w:t>
      </w:r>
    </w:p>
    <w:p w14:paraId="0090D8AD">
      <w:pPr>
        <w:keepNext w:val="0"/>
        <w:keepLines w:val="0"/>
        <w:pageBreakBefore w:val="0"/>
        <w:kinsoku/>
        <w:wordWrap/>
        <w:overflowPunct/>
        <w:topLinePunct w:val="0"/>
        <w:autoSpaceDE/>
        <w:autoSpaceDN/>
        <w:bidi w:val="0"/>
        <w:adjustRightInd/>
        <w:snapToGrid w:val="0"/>
        <w:spacing w:line="560" w:lineRule="exact"/>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24C41E13">
      <w:pPr>
        <w:keepNext w:val="0"/>
        <w:keepLines w:val="0"/>
        <w:pageBreakBefore w:val="0"/>
        <w:kinsoku/>
        <w:wordWrap/>
        <w:overflowPunct/>
        <w:topLinePunct w:val="0"/>
        <w:autoSpaceDE/>
        <w:autoSpaceDN/>
        <w:bidi w:val="0"/>
        <w:adjustRightInd/>
        <w:snapToGrid w:val="0"/>
        <w:spacing w:line="560" w:lineRule="exact"/>
        <w:ind w:firstLine="480"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以下为常见专业名词解释目录,仅供参考,部门应根据实际情况进行解释和增减。比如可将类级功能科目和经济科目细化解释到项级。若有删减注意调整段落序号。</w:t>
      </w:r>
    </w:p>
    <w:p w14:paraId="29725BFF">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5F7475CC">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55CBC3C">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56009409">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5E67319B">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4ED5BACD">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5D30DADA">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3F60B828">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102A1AA2">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77F99B3B">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032EA4DF">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6557EAF1">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60990A4">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6225197">
      <w:pPr>
        <w:keepNext w:val="0"/>
        <w:keepLines w:val="0"/>
        <w:pageBreakBefore w:val="0"/>
        <w:kinsoku/>
        <w:wordWrap/>
        <w:overflowPunct/>
        <w:topLinePunct w:val="0"/>
        <w:autoSpaceDE/>
        <w:autoSpaceDN/>
        <w:bidi w:val="0"/>
        <w:adjustRightInd/>
        <w:snapToGrid w:val="0"/>
        <w:spacing w:line="560" w:lineRule="exact"/>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5EBBB437">
      <w:pPr>
        <w:keepNext w:val="0"/>
        <w:keepLines w:val="0"/>
        <w:pageBreakBefore w:val="0"/>
        <w:kinsoku/>
        <w:wordWrap/>
        <w:overflowPunct/>
        <w:topLinePunct w:val="0"/>
        <w:autoSpaceDE/>
        <w:autoSpaceDN/>
        <w:bidi w:val="0"/>
        <w:adjustRightInd/>
        <w:snapToGrid w:val="0"/>
        <w:spacing w:line="5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zh-CN"/>
        </w:rPr>
        <w:t>附件一：</w:t>
      </w:r>
      <w:r>
        <w:rPr>
          <w:rFonts w:hint="eastAsia" w:ascii="宋体" w:hAnsi="宋体" w:cs="宋体"/>
          <w:color w:val="auto"/>
          <w:sz w:val="24"/>
          <w:szCs w:val="24"/>
          <w:lang w:val="zh-CN"/>
        </w:rPr>
        <w:t>中国共产主义青年团华池县委员会</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年决算报表</w:t>
      </w:r>
    </w:p>
    <w:p w14:paraId="453C868A">
      <w:pPr>
        <w:keepNext w:val="0"/>
        <w:keepLines w:val="0"/>
        <w:pageBreakBefore w:val="0"/>
        <w:kinsoku/>
        <w:wordWrap/>
        <w:overflowPunct/>
        <w:topLinePunct w:val="0"/>
        <w:autoSpaceDE/>
        <w:autoSpaceDN/>
        <w:bidi w:val="0"/>
        <w:adjustRightInd/>
        <w:snapToGrid w:val="0"/>
        <w:spacing w:line="560" w:lineRule="exact"/>
        <w:ind w:firstLine="480"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附件二：</w:t>
      </w:r>
      <w:r>
        <w:rPr>
          <w:rFonts w:hint="eastAsia" w:ascii="宋体" w:hAnsi="宋体" w:cs="宋体"/>
          <w:color w:val="auto"/>
          <w:sz w:val="24"/>
          <w:szCs w:val="24"/>
          <w:lang w:val="zh-CN"/>
        </w:rPr>
        <w:t>中国共产主义青年团华池县委员会</w:t>
      </w:r>
      <w:r>
        <w:rPr>
          <w:rFonts w:hint="eastAsia" w:ascii="宋体" w:hAnsi="宋体" w:eastAsia="宋体" w:cs="宋体"/>
          <w:color w:val="auto"/>
          <w:sz w:val="24"/>
          <w:szCs w:val="24"/>
          <w:lang w:val="zh-CN"/>
        </w:rPr>
        <w:t>部门整体支出绩效自评表</w:t>
      </w:r>
    </w:p>
    <w:p w14:paraId="6D516725">
      <w:pPr>
        <w:pageBreakBefore w:val="0"/>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24"/>
          <w:szCs w:val="24"/>
          <w:lang w:val="zh-CN"/>
        </w:rPr>
      </w:pPr>
    </w:p>
    <w:p w14:paraId="72AB5312">
      <w:pPr>
        <w:pageBreakBefore w:val="0"/>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5C241"/>
    <w:multiLevelType w:val="singleLevel"/>
    <w:tmpl w:val="8B35C241"/>
    <w:lvl w:ilvl="0" w:tentative="0">
      <w:start w:val="2"/>
      <w:numFmt w:val="decimal"/>
      <w:suff w:val="nothing"/>
      <w:lvlText w:val="（%1）"/>
      <w:lvlJc w:val="left"/>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F2DA5A7E"/>
    <w:multiLevelType w:val="singleLevel"/>
    <w:tmpl w:val="F2DA5A7E"/>
    <w:lvl w:ilvl="0" w:tentative="0">
      <w:start w:val="2"/>
      <w:numFmt w:val="chineseCounting"/>
      <w:suff w:val="nothing"/>
      <w:lvlText w:val="%1、"/>
      <w:lvlJc w:val="left"/>
      <w:rPr>
        <w:rFonts w:hint="eastAsia"/>
      </w:rPr>
    </w:lvl>
  </w:abstractNum>
  <w:abstractNum w:abstractNumId="3">
    <w:nsid w:val="0053208E"/>
    <w:multiLevelType w:val="singleLevel"/>
    <w:tmpl w:val="0053208E"/>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MjkzMzVjYzAxNDAyZjdkNWQzOTdmZGYwYWQ2OTkifQ=="/>
  </w:docVars>
  <w:rsids>
    <w:rsidRoot w:val="00000000"/>
    <w:rsid w:val="08F857F6"/>
    <w:rsid w:val="0C917B0E"/>
    <w:rsid w:val="35B850DD"/>
    <w:rsid w:val="463A279D"/>
    <w:rsid w:val="4D4B1038"/>
    <w:rsid w:val="52E93045"/>
    <w:rsid w:val="55FC646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10779fe5-7fa5-408e-b6ce-14d7666d9746}">
  <ds:schemaRefs/>
</ds:datastoreItem>
</file>

<file path=customXml/itemProps2.xml><?xml version="1.0" encoding="utf-8"?>
<ds:datastoreItem xmlns:ds="http://schemas.openxmlformats.org/officeDocument/2006/customXml" ds:itemID="{18430fbd-4d53-454e-ac3a-94eb1478f18a}">
  <ds:schemaRefs/>
</ds:datastoreItem>
</file>

<file path=customXml/itemProps3.xml><?xml version="1.0" encoding="utf-8"?>
<ds:datastoreItem xmlns:ds="http://schemas.openxmlformats.org/officeDocument/2006/customXml" ds:itemID="{e56fbb29-ce35-4e55-bf7e-a434bb97930d}">
  <ds:schemaRefs/>
</ds:datastoreItem>
</file>

<file path=customXml/itemProps4.xml><?xml version="1.0" encoding="utf-8"?>
<ds:datastoreItem xmlns:ds="http://schemas.openxmlformats.org/officeDocument/2006/customXml" ds:itemID="{eb504ac1-bb25-486c-92cf-11b1427540da}">
  <ds:schemaRefs/>
</ds:datastoreItem>
</file>

<file path=customXml/itemProps5.xml><?xml version="1.0" encoding="utf-8"?>
<ds:datastoreItem xmlns:ds="http://schemas.openxmlformats.org/officeDocument/2006/customXml" ds:itemID="{9c674e36-8297-4c0e-b198-66c78e0cea02}">
  <ds:schemaRefs/>
</ds:datastoreItem>
</file>

<file path=customXml/itemProps6.xml><?xml version="1.0" encoding="utf-8"?>
<ds:datastoreItem xmlns:ds="http://schemas.openxmlformats.org/officeDocument/2006/customXml" ds:itemID="{03d4afb9-3970-4c08-8dea-3f0423283c7f}">
  <ds:schemaRefs/>
</ds:datastoreItem>
</file>

<file path=customXml/itemProps7.xml><?xml version="1.0" encoding="utf-8"?>
<ds:datastoreItem xmlns:ds="http://schemas.openxmlformats.org/officeDocument/2006/customXml" ds:itemID="{c0b04d67-6482-48e5-983d-498807fac727}">
  <ds:schemaRefs/>
</ds:datastoreItem>
</file>

<file path=customXml/itemProps8.xml><?xml version="1.0" encoding="utf-8"?>
<ds:datastoreItem xmlns:ds="http://schemas.openxmlformats.org/officeDocument/2006/customXml" ds:itemID="{c1192c15-1056-40bf-a288-1b406dedc015}">
  <ds:schemaRefs/>
</ds:datastoreItem>
</file>

<file path=customXml/itemProps9.xml><?xml version="1.0" encoding="utf-8"?>
<ds:datastoreItem xmlns:ds="http://schemas.openxmlformats.org/officeDocument/2006/customXml" ds:itemID="{8a0a4d2f-de17-4bf7-89a2-06f01329f6a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5360</Words>
  <Characters>5995</Characters>
  <Lines>0</Lines>
  <Paragraphs>0</Paragraphs>
  <TotalTime>11</TotalTime>
  <ScaleCrop>false</ScaleCrop>
  <LinksUpToDate>false</LinksUpToDate>
  <CharactersWithSpaces>6012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幸福1414651991</cp:lastModifiedBy>
  <dcterms:modified xsi:type="dcterms:W3CDTF">2024-09-18T06:55:38Z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E06D266F13EA4024808CEEADBAD91186_11</vt:lpwstr>
  </property>
</Properties>
</file>