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44"/>
          <w:szCs w:val="44"/>
          <w:lang w:val="zh-CN"/>
        </w:rPr>
      </w:pPr>
      <w:r>
        <w:rPr>
          <w:rFonts w:hint="eastAsia" w:ascii="宋体" w:hAnsi="宋体"/>
          <w:sz w:val="44"/>
          <w:szCs w:val="44"/>
          <w:lang w:val="zh-CN"/>
        </w:rPr>
        <w:t>2023年度</w:t>
      </w:r>
    </w:p>
    <w:p>
      <w:pPr>
        <w:widowControl w:val="0"/>
        <w:jc w:val="center"/>
        <w:rPr>
          <w:rFonts w:hint="eastAsia" w:ascii="宋体" w:hAnsi="宋体"/>
          <w:sz w:val="44"/>
          <w:szCs w:val="44"/>
          <w:lang w:val="zh-CN"/>
        </w:rPr>
      </w:pPr>
      <w:r>
        <w:rPr>
          <w:rFonts w:hint="eastAsia" w:ascii="宋体" w:hAnsi="宋体"/>
          <w:sz w:val="44"/>
          <w:szCs w:val="44"/>
          <w:lang w:val="zh-CN"/>
        </w:rPr>
        <w:t>华池县不动产登记事务中心部门决算</w:t>
      </w:r>
    </w:p>
    <w:p>
      <w:pPr>
        <w:spacing w:before="100" w:beforeLines="0" w:after="100" w:afterLines="0"/>
        <w:jc w:val="center"/>
        <w:rPr>
          <w:rFonts w:hint="eastAsia" w:ascii="宋体" w:hAnsi="宋体"/>
          <w:sz w:val="44"/>
          <w:szCs w:val="4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napToGrid w:val="0"/>
        <w:spacing w:line="560" w:lineRule="exact"/>
        <w:ind w:firstLine="480" w:firstLineChars="200"/>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val="0"/>
          <w:bCs w:val="0"/>
          <w:sz w:val="24"/>
          <w:szCs w:val="24"/>
        </w:rPr>
        <w:t>华池县不动产登记事务中心主要负责全县土地、房屋、林地、草地等不动产统一登记工作；负责建立各类不动产登记信息管理基础平台、数据库等，保证信息系统正常运行；负责不动产登记资料社会查询服务；负责不动产登记有关事宜的受理、送审和证书领取发放工作；承办不动产登记人员上岗资格初审；负责各类不动产登记资料的收集、整理、共享、汇交管理和归档。</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pPr>
        <w:pStyle w:val="3"/>
        <w:shd w:val="clear" w:color="auto" w:fill="FFFFFF"/>
        <w:spacing w:before="0" w:beforeAutospacing="0" w:after="0" w:afterAutospacing="0" w:line="560" w:lineRule="exact"/>
        <w:ind w:firstLine="480" w:firstLineChars="200"/>
        <w:rPr>
          <w:rFonts w:hint="eastAsia" w:ascii="宋体" w:hAnsi="宋体" w:eastAsia="宋体" w:cstheme="minorBidi"/>
          <w:color w:val="auto"/>
          <w:kern w:val="2"/>
          <w:sz w:val="24"/>
          <w:szCs w:val="24"/>
          <w:lang w:val="en-US" w:eastAsia="zh-CN"/>
        </w:rPr>
      </w:pPr>
      <w:r>
        <w:rPr>
          <w:rFonts w:hint="eastAsia" w:ascii="宋体" w:hAnsi="宋体" w:eastAsia="宋体" w:cstheme="minorBidi"/>
          <w:color w:val="auto"/>
          <w:kern w:val="2"/>
          <w:sz w:val="24"/>
          <w:szCs w:val="24"/>
          <w:lang w:val="en-US" w:eastAsia="zh-CN"/>
        </w:rPr>
        <w:t>（1）机关内设机构</w:t>
      </w:r>
    </w:p>
    <w:p>
      <w:pPr>
        <w:pStyle w:val="2"/>
        <w:spacing w:line="620" w:lineRule="exact"/>
        <w:ind w:firstLine="480" w:firstLineChars="200"/>
        <w:rPr>
          <w:rFonts w:hint="eastAsia" w:asciiTheme="minorEastAsia" w:hAnsiTheme="minorEastAsia" w:eastAsiaTheme="minorEastAsia" w:cstheme="minorEastAsia"/>
          <w:b w:val="0"/>
          <w:bCs w:val="0"/>
          <w:sz w:val="24"/>
          <w:szCs w:val="24"/>
          <w:lang w:val="en-US" w:eastAsia="zh-CN" w:bidi="ar-SA"/>
        </w:rPr>
      </w:pPr>
      <w:r>
        <w:rPr>
          <w:rFonts w:hint="eastAsia" w:asciiTheme="minorEastAsia" w:hAnsiTheme="minorEastAsia" w:eastAsiaTheme="minorEastAsia" w:cstheme="minorEastAsia"/>
          <w:b w:val="0"/>
          <w:bCs w:val="0"/>
          <w:sz w:val="24"/>
          <w:szCs w:val="24"/>
          <w:lang w:val="en-US" w:eastAsia="zh-CN" w:bidi="ar-SA"/>
        </w:rPr>
        <w:t>华池县不动产登记事务中心成立于2015年11月，本单位为全额拨款副科级事业单位，隶属华池县国土资源局（华池县不动产登记管理局）管理，内设办公室、登记股（政务大厅）、权籍信息股、调查股4个办公室。</w:t>
      </w:r>
    </w:p>
    <w:p>
      <w:pPr>
        <w:pStyle w:val="2"/>
        <w:spacing w:line="620" w:lineRule="exact"/>
        <w:ind w:firstLine="480" w:firstLineChars="200"/>
        <w:rPr>
          <w:rFonts w:hint="eastAsia" w:asciiTheme="minorEastAsia" w:hAnsiTheme="minorEastAsia" w:eastAsiaTheme="minorEastAsia" w:cstheme="minorEastAsia"/>
          <w:b w:val="0"/>
          <w:bCs w:val="0"/>
          <w:sz w:val="24"/>
          <w:szCs w:val="24"/>
          <w:lang w:val="en-US" w:eastAsia="zh-CN" w:bidi="ar-SA"/>
        </w:rPr>
      </w:pPr>
      <w:r>
        <w:rPr>
          <w:rFonts w:hint="eastAsia" w:asciiTheme="minorEastAsia" w:hAnsiTheme="minorEastAsia" w:eastAsiaTheme="minorEastAsia" w:cstheme="minorEastAsia"/>
          <w:b w:val="0"/>
          <w:bCs w:val="0"/>
          <w:sz w:val="24"/>
          <w:szCs w:val="24"/>
          <w:lang w:val="en-US" w:eastAsia="zh-CN" w:bidi="ar-SA"/>
        </w:rPr>
        <w:t>1、办公室主要职责：负责中心文电、印信和文件的起草、校印、送发和归档工作；负责综合事务协调和领导交办的工作；负责职工的业务培训、保密、社会治安、环境卫生和后勤保障工作；负责接待群众来信来访工作；负责组织机关的政治业务学习，协助其它股室搞好有关登记工作；负责不动产登记局内行政事务管理工作；协调林业等部门确定的重点国有林区森林、林木、林地的登记发证。</w:t>
      </w:r>
    </w:p>
    <w:p>
      <w:pPr>
        <w:pStyle w:val="2"/>
        <w:spacing w:line="620" w:lineRule="exact"/>
        <w:ind w:firstLine="480" w:firstLineChars="200"/>
        <w:rPr>
          <w:rFonts w:hint="eastAsia" w:asciiTheme="minorEastAsia" w:hAnsiTheme="minorEastAsia" w:eastAsiaTheme="minorEastAsia" w:cstheme="minorEastAsia"/>
          <w:b w:val="0"/>
          <w:bCs w:val="0"/>
          <w:sz w:val="24"/>
          <w:szCs w:val="24"/>
          <w:lang w:val="en-US" w:eastAsia="zh-CN" w:bidi="ar-SA"/>
        </w:rPr>
      </w:pPr>
      <w:r>
        <w:rPr>
          <w:rFonts w:hint="eastAsia" w:asciiTheme="minorEastAsia" w:hAnsiTheme="minorEastAsia" w:eastAsiaTheme="minorEastAsia" w:cstheme="minorEastAsia"/>
          <w:b w:val="0"/>
          <w:bCs w:val="0"/>
          <w:sz w:val="24"/>
          <w:szCs w:val="24"/>
          <w:lang w:val="en-US" w:eastAsia="zh-CN" w:bidi="ar-SA"/>
        </w:rPr>
        <w:t>2、登记股（政务大厅）主要职责：严格执行不动产登记及相关工作办法、规定；承办全县土地、房屋、林地、草原等不动产登记工作，对受理的不动产登记申请依法进行审核；提出是否将有关事项记载于不动产登记簿的审核意见；将有关事项记载于不动产登记簿；核发不动产登记证书。</w:t>
      </w:r>
    </w:p>
    <w:p>
      <w:pPr>
        <w:pStyle w:val="2"/>
        <w:spacing w:line="620" w:lineRule="exact"/>
        <w:ind w:firstLine="480" w:firstLineChars="200"/>
        <w:rPr>
          <w:rFonts w:hint="eastAsia" w:asciiTheme="minorEastAsia" w:hAnsiTheme="minorEastAsia" w:eastAsiaTheme="minorEastAsia" w:cstheme="minorEastAsia"/>
          <w:b w:val="0"/>
          <w:bCs w:val="0"/>
          <w:sz w:val="24"/>
          <w:szCs w:val="24"/>
          <w:lang w:val="en-US" w:eastAsia="zh-CN" w:bidi="ar-SA"/>
        </w:rPr>
      </w:pPr>
      <w:r>
        <w:rPr>
          <w:rFonts w:hint="eastAsia" w:asciiTheme="minorEastAsia" w:hAnsiTheme="minorEastAsia" w:eastAsiaTheme="minorEastAsia" w:cstheme="minorEastAsia"/>
          <w:b w:val="0"/>
          <w:bCs w:val="0"/>
          <w:sz w:val="24"/>
          <w:szCs w:val="24"/>
          <w:lang w:val="en-US" w:eastAsia="zh-CN" w:bidi="ar-SA"/>
        </w:rPr>
        <w:t>3、权籍信息股主要职责：执行不动产权籍调查办法和标准规范，建立不动产登记信息管理基础平台、数据库，保证信息系统正常运行；承担各类不动产登记资料的收集、整理、共享、汇交管理和归档；承担不动产登记资料社会查询服务。</w:t>
      </w:r>
    </w:p>
    <w:p>
      <w:pPr>
        <w:pStyle w:val="2"/>
        <w:spacing w:line="620" w:lineRule="exact"/>
        <w:ind w:firstLine="480" w:firstLineChars="200"/>
        <w:rPr>
          <w:rFonts w:hint="eastAsia" w:asciiTheme="minorEastAsia" w:hAnsiTheme="minorEastAsia" w:eastAsiaTheme="minorEastAsia" w:cstheme="minorEastAsia"/>
          <w:b w:val="0"/>
          <w:bCs w:val="0"/>
          <w:sz w:val="24"/>
          <w:szCs w:val="24"/>
          <w:lang w:val="en-US" w:eastAsia="zh-CN" w:bidi="ar-SA"/>
        </w:rPr>
      </w:pPr>
      <w:r>
        <w:rPr>
          <w:rFonts w:hint="eastAsia" w:asciiTheme="minorEastAsia" w:hAnsiTheme="minorEastAsia" w:eastAsiaTheme="minorEastAsia" w:cstheme="minorEastAsia"/>
          <w:b w:val="0"/>
          <w:bCs w:val="0"/>
          <w:sz w:val="24"/>
          <w:szCs w:val="24"/>
          <w:lang w:val="en-US" w:eastAsia="zh-CN" w:bidi="ar-SA"/>
        </w:rPr>
        <w:t>4、调查股主要职责：执行不动产调查标准规范和办法；会同有关部门开展不动产确权和权属争议调处工作，调处重大不动产权属争议；审核专业技术单位提交的不动产界址坐标、空间界限、权籍调查表、权属界线协议书、宗地图、房屋测绘报告、房屋平面图等调查成果；参与重要不动产产权实地调查。</w:t>
      </w:r>
    </w:p>
    <w:p>
      <w:pPr>
        <w:pStyle w:val="3"/>
        <w:shd w:val="clear" w:color="auto" w:fill="FFFFFF"/>
        <w:spacing w:before="0" w:beforeAutospacing="0" w:after="0" w:afterAutospacing="0" w:line="560" w:lineRule="exact"/>
        <w:ind w:firstLine="480" w:firstLineChars="200"/>
        <w:rPr>
          <w:rFonts w:hint="eastAsia" w:ascii="宋体" w:hAnsi="宋体" w:eastAsia="宋体" w:cstheme="minorBidi"/>
          <w:color w:val="auto"/>
          <w:kern w:val="2"/>
          <w:sz w:val="24"/>
          <w:szCs w:val="24"/>
          <w:lang w:val="en-US" w:eastAsia="zh-CN"/>
        </w:rPr>
      </w:pPr>
      <w:r>
        <w:rPr>
          <w:rFonts w:hint="eastAsia" w:ascii="宋体" w:hAnsi="宋体" w:eastAsia="宋体" w:cstheme="minorBidi"/>
          <w:color w:val="auto"/>
          <w:kern w:val="2"/>
          <w:sz w:val="24"/>
          <w:szCs w:val="24"/>
          <w:lang w:val="en-US" w:eastAsia="zh-CN"/>
        </w:rPr>
        <w:t>（2）人员情况</w:t>
      </w:r>
    </w:p>
    <w:p>
      <w:pPr>
        <w:pStyle w:val="3"/>
        <w:shd w:val="clear" w:color="auto" w:fill="FFFFFF"/>
        <w:spacing w:before="0" w:beforeAutospacing="0" w:after="0" w:afterAutospacing="0" w:line="560" w:lineRule="exact"/>
        <w:ind w:firstLine="480" w:firstLineChars="200"/>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核定全额拨款事业编制7名即：主任1名，干事6名。2023年年末实有人数8人，与上年无变化。</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r>
        <w:rPr>
          <w:rFonts w:hint="eastAsia" w:ascii="宋体" w:hAnsi="宋体"/>
          <w:b/>
          <w:color w:val="auto"/>
          <w:sz w:val="24"/>
          <w:szCs w:val="24"/>
          <w:lang w:val="en-US" w:eastAsia="zh-CN"/>
        </w:rPr>
        <w:t>详见附件</w:t>
      </w:r>
      <w:r>
        <w:rPr>
          <w:rFonts w:hint="eastAsia" w:ascii="宋体" w:hAnsi="宋体"/>
          <w:b/>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numPr>
          <w:ilvl w:val="0"/>
          <w:numId w:val="0"/>
        </w:numPr>
        <w:spacing w:before="100" w:beforeLines="0" w:after="100" w:afterLines="0"/>
        <w:ind w:firstLine="480" w:firstLineChars="200"/>
        <w:jc w:val="left"/>
        <w:rPr>
          <w:rFonts w:hint="eastAsia" w:asciiTheme="minorEastAsia" w:hAnsiTheme="minorEastAsia" w:eastAsiaTheme="minorEastAsia" w:cstheme="minorEastAsia"/>
          <w:b w:val="0"/>
          <w:bCs w:val="0"/>
          <w:color w:val="auto"/>
          <w:sz w:val="24"/>
          <w:szCs w:val="24"/>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144.80万元。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en-US" w:eastAsia="zh-CN"/>
        </w:rPr>
        <w:t>增加22.24</w:t>
      </w:r>
      <w:r>
        <w:rPr>
          <w:rFonts w:hint="eastAsia" w:ascii="宋体" w:hAnsi="宋体"/>
          <w:color w:val="auto"/>
          <w:sz w:val="24"/>
          <w:szCs w:val="24"/>
          <w:lang w:val="zh-CN"/>
        </w:rPr>
        <w:t>万元,增长</w:t>
      </w:r>
      <w:r>
        <w:rPr>
          <w:rFonts w:hint="eastAsia" w:ascii="宋体" w:hAnsi="宋体"/>
          <w:color w:val="auto"/>
          <w:sz w:val="24"/>
          <w:szCs w:val="24"/>
          <w:lang w:val="en-US" w:eastAsia="zh-CN"/>
        </w:rPr>
        <w:t>18.14</w:t>
      </w:r>
      <w:r>
        <w:rPr>
          <w:rFonts w:hint="eastAsia" w:ascii="宋体" w:hAnsi="宋体"/>
          <w:color w:val="auto"/>
          <w:sz w:val="24"/>
          <w:szCs w:val="24"/>
          <w:lang w:val="zh-CN"/>
        </w:rPr>
        <w:t>%</w:t>
      </w:r>
      <w:r>
        <w:rPr>
          <w:rFonts w:hint="eastAsia" w:asciiTheme="minorEastAsia" w:hAnsiTheme="minorEastAsia" w:eastAsiaTheme="minorEastAsia" w:cstheme="minorEastAsia"/>
          <w:b w:val="0"/>
          <w:bCs w:val="0"/>
          <w:color w:val="auto"/>
          <w:sz w:val="24"/>
          <w:szCs w:val="24"/>
        </w:rPr>
        <w:t>主要原因</w:t>
      </w:r>
      <w:r>
        <w:rPr>
          <w:rFonts w:hint="eastAsia" w:asciiTheme="minorEastAsia" w:hAnsiTheme="minorEastAsia" w:eastAsiaTheme="minorEastAsia" w:cstheme="minorEastAsia"/>
          <w:b w:val="0"/>
          <w:bCs w:val="0"/>
          <w:color w:val="auto"/>
          <w:sz w:val="24"/>
          <w:szCs w:val="24"/>
          <w:lang w:eastAsia="zh-CN"/>
        </w:rPr>
        <w:t>：一</w:t>
      </w:r>
      <w:r>
        <w:rPr>
          <w:rFonts w:hint="eastAsia" w:asciiTheme="minorEastAsia" w:hAnsiTheme="minorEastAsia" w:eastAsiaTheme="minorEastAsia" w:cstheme="minorEastAsia"/>
          <w:b w:val="0"/>
          <w:bCs w:val="0"/>
          <w:color w:val="auto"/>
          <w:sz w:val="24"/>
          <w:szCs w:val="24"/>
        </w:rPr>
        <w:t>是公用经费和人员</w:t>
      </w:r>
      <w:r>
        <w:rPr>
          <w:rFonts w:hint="eastAsia" w:asciiTheme="minorEastAsia" w:hAnsiTheme="minorEastAsia" w:eastAsiaTheme="minorEastAsia" w:cstheme="minorEastAsia"/>
          <w:b w:val="0"/>
          <w:bCs w:val="0"/>
          <w:color w:val="auto"/>
          <w:sz w:val="24"/>
          <w:szCs w:val="24"/>
          <w:lang w:eastAsia="zh-CN"/>
        </w:rPr>
        <w:t>经费</w:t>
      </w:r>
      <w:r>
        <w:rPr>
          <w:rFonts w:hint="eastAsia" w:asciiTheme="minorEastAsia" w:hAnsiTheme="minorEastAsia" w:eastAsiaTheme="minorEastAsia" w:cstheme="minorEastAsia"/>
          <w:b w:val="0"/>
          <w:bCs w:val="0"/>
          <w:color w:val="auto"/>
          <w:sz w:val="24"/>
          <w:szCs w:val="24"/>
        </w:rPr>
        <w:t>增加；二</w:t>
      </w:r>
      <w:r>
        <w:rPr>
          <w:rFonts w:hint="eastAsia" w:asciiTheme="minorEastAsia" w:hAnsiTheme="minorEastAsia" w:eastAsiaTheme="minorEastAsia" w:cstheme="minorEastAsia"/>
          <w:b w:val="0"/>
          <w:bCs w:val="0"/>
          <w:color w:val="auto"/>
          <w:sz w:val="24"/>
          <w:szCs w:val="24"/>
          <w:lang w:val="en-US" w:eastAsia="zh-CN"/>
        </w:rPr>
        <w:t>是</w:t>
      </w:r>
      <w:r>
        <w:rPr>
          <w:rFonts w:hint="eastAsia" w:asciiTheme="minorEastAsia" w:hAnsiTheme="minorEastAsia" w:eastAsiaTheme="minorEastAsia" w:cstheme="minorEastAsia"/>
          <w:b w:val="0"/>
          <w:bCs w:val="0"/>
          <w:color w:val="auto"/>
          <w:sz w:val="24"/>
          <w:szCs w:val="24"/>
          <w:lang w:eastAsia="zh-CN"/>
        </w:rPr>
        <w:t>本年支出增加。</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2023年度收入合计133.42万元,其中：财政拨款收入133.42万元,占100.00%。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2023年度支出合计144.80万元,其中：基本支出124.91万元,占86.26%；项目支出19.90万元,占13.74%；。</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pPr>
        <w:spacing w:before="100" w:beforeLines="0" w:after="100" w:afterLines="0"/>
        <w:jc w:val="left"/>
        <w:rPr>
          <w:rFonts w:hint="eastAsia" w:asciiTheme="minorEastAsia" w:hAnsiTheme="minorEastAsia" w:eastAsiaTheme="minorEastAsia" w:cstheme="minorEastAsia"/>
          <w:b w:val="0"/>
          <w:bCs w:val="0"/>
          <w:color w:val="auto"/>
          <w:sz w:val="24"/>
          <w:szCs w:val="24"/>
          <w:lang w:eastAsia="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144.80万元。与</w:t>
      </w:r>
      <w:r>
        <w:rPr>
          <w:rFonts w:hint="eastAsia" w:ascii="宋体" w:hAnsi="宋体"/>
          <w:color w:val="auto"/>
          <w:sz w:val="24"/>
          <w:szCs w:val="24"/>
          <w:lang w:val="en-US"/>
        </w:rPr>
        <w:t>上</w:t>
      </w:r>
      <w:r>
        <w:rPr>
          <w:rFonts w:hint="eastAsia" w:ascii="宋体" w:hAnsi="宋体"/>
          <w:color w:val="auto"/>
          <w:sz w:val="24"/>
          <w:szCs w:val="24"/>
          <w:lang w:val="zh-CN"/>
        </w:rPr>
        <w:t>年相比,</w:t>
      </w:r>
      <w:r>
        <w:rPr>
          <w:rFonts w:hint="eastAsia" w:ascii="宋体" w:hAnsi="宋体"/>
          <w:color w:val="auto"/>
          <w:sz w:val="24"/>
          <w:szCs w:val="24"/>
          <w:lang w:val="en-US" w:eastAsia="zh-CN"/>
        </w:rPr>
        <w:t>增加22.24</w:t>
      </w:r>
      <w:r>
        <w:rPr>
          <w:rFonts w:hint="eastAsia" w:ascii="宋体" w:hAnsi="宋体"/>
          <w:color w:val="auto"/>
          <w:sz w:val="24"/>
          <w:szCs w:val="24"/>
          <w:lang w:val="zh-CN"/>
        </w:rPr>
        <w:t>万元,增长</w:t>
      </w:r>
      <w:r>
        <w:rPr>
          <w:rFonts w:hint="eastAsia" w:ascii="宋体" w:hAnsi="宋体"/>
          <w:color w:val="auto"/>
          <w:sz w:val="24"/>
          <w:szCs w:val="24"/>
          <w:lang w:val="en-US" w:eastAsia="zh-CN"/>
        </w:rPr>
        <w:t>18.14</w:t>
      </w:r>
      <w:r>
        <w:rPr>
          <w:rFonts w:hint="eastAsia" w:ascii="宋体" w:hAnsi="宋体"/>
          <w:color w:val="auto"/>
          <w:sz w:val="24"/>
          <w:szCs w:val="24"/>
          <w:lang w:val="zh-CN"/>
        </w:rPr>
        <w:t>%,</w:t>
      </w:r>
      <w:r>
        <w:rPr>
          <w:rFonts w:hint="eastAsia" w:asciiTheme="minorEastAsia" w:hAnsiTheme="minorEastAsia" w:eastAsiaTheme="minorEastAsia" w:cstheme="minorEastAsia"/>
          <w:b w:val="0"/>
          <w:bCs w:val="0"/>
          <w:color w:val="auto"/>
          <w:sz w:val="24"/>
          <w:szCs w:val="24"/>
        </w:rPr>
        <w:t>主要原因</w:t>
      </w:r>
      <w:r>
        <w:rPr>
          <w:rFonts w:hint="eastAsia" w:asciiTheme="minorEastAsia" w:hAnsiTheme="minorEastAsia" w:eastAsiaTheme="minorEastAsia" w:cstheme="minorEastAsia"/>
          <w:b w:val="0"/>
          <w:bCs w:val="0"/>
          <w:color w:val="auto"/>
          <w:sz w:val="24"/>
          <w:szCs w:val="24"/>
          <w:lang w:eastAsia="zh-CN"/>
        </w:rPr>
        <w:t>：一</w:t>
      </w:r>
      <w:r>
        <w:rPr>
          <w:rFonts w:hint="eastAsia" w:asciiTheme="minorEastAsia" w:hAnsiTheme="minorEastAsia" w:eastAsiaTheme="minorEastAsia" w:cstheme="minorEastAsia"/>
          <w:b w:val="0"/>
          <w:bCs w:val="0"/>
          <w:color w:val="auto"/>
          <w:sz w:val="24"/>
          <w:szCs w:val="24"/>
        </w:rPr>
        <w:t>是公用经费和人员</w:t>
      </w:r>
      <w:r>
        <w:rPr>
          <w:rFonts w:hint="eastAsia" w:asciiTheme="minorEastAsia" w:hAnsiTheme="minorEastAsia" w:eastAsiaTheme="minorEastAsia" w:cstheme="minorEastAsia"/>
          <w:b w:val="0"/>
          <w:bCs w:val="0"/>
          <w:color w:val="auto"/>
          <w:sz w:val="24"/>
          <w:szCs w:val="24"/>
          <w:lang w:eastAsia="zh-CN"/>
        </w:rPr>
        <w:t>经费</w:t>
      </w:r>
      <w:r>
        <w:rPr>
          <w:rFonts w:hint="eastAsia" w:asciiTheme="minorEastAsia" w:hAnsiTheme="minorEastAsia" w:eastAsiaTheme="minorEastAsia" w:cstheme="minorEastAsia"/>
          <w:b w:val="0"/>
          <w:bCs w:val="0"/>
          <w:color w:val="auto"/>
          <w:sz w:val="24"/>
          <w:szCs w:val="24"/>
        </w:rPr>
        <w:t>增加；二</w:t>
      </w:r>
      <w:r>
        <w:rPr>
          <w:rFonts w:hint="eastAsia" w:asciiTheme="minorEastAsia" w:hAnsiTheme="minorEastAsia" w:eastAsiaTheme="minorEastAsia" w:cstheme="minorEastAsia"/>
          <w:b w:val="0"/>
          <w:bCs w:val="0"/>
          <w:color w:val="auto"/>
          <w:sz w:val="24"/>
          <w:szCs w:val="24"/>
          <w:lang w:val="en-US" w:eastAsia="zh-CN"/>
        </w:rPr>
        <w:t>是</w:t>
      </w:r>
      <w:r>
        <w:rPr>
          <w:rFonts w:hint="eastAsia" w:asciiTheme="minorEastAsia" w:hAnsiTheme="minorEastAsia" w:eastAsiaTheme="minorEastAsia" w:cstheme="minorEastAsia"/>
          <w:b w:val="0"/>
          <w:bCs w:val="0"/>
          <w:color w:val="auto"/>
          <w:sz w:val="24"/>
          <w:szCs w:val="24"/>
          <w:lang w:eastAsia="zh-CN"/>
        </w:rPr>
        <w:t>本年支出增加。</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2023年度一般公共预算财政拨款支出144.80万元,较上年决算数增加</w:t>
      </w:r>
      <w:r>
        <w:rPr>
          <w:rFonts w:hint="eastAsia" w:ascii="宋体" w:hAnsi="宋体"/>
          <w:color w:val="auto"/>
          <w:sz w:val="24"/>
          <w:szCs w:val="24"/>
          <w:lang w:val="en-US" w:eastAsia="zh-CN"/>
        </w:rPr>
        <w:t>22.24</w:t>
      </w:r>
      <w:r>
        <w:rPr>
          <w:rFonts w:hint="eastAsia" w:ascii="宋体" w:hAnsi="宋体"/>
          <w:color w:val="auto"/>
          <w:sz w:val="24"/>
          <w:szCs w:val="24"/>
          <w:lang w:val="zh-CN"/>
        </w:rPr>
        <w:t>万元,增长</w:t>
      </w:r>
      <w:r>
        <w:rPr>
          <w:rFonts w:hint="eastAsia" w:ascii="宋体" w:hAnsi="宋体"/>
          <w:color w:val="auto"/>
          <w:sz w:val="24"/>
          <w:szCs w:val="24"/>
          <w:lang w:val="en-US" w:eastAsia="zh-CN"/>
        </w:rPr>
        <w:t>18.14</w:t>
      </w:r>
      <w:r>
        <w:rPr>
          <w:rFonts w:hint="eastAsia" w:ascii="宋体" w:hAnsi="宋体"/>
          <w:color w:val="auto"/>
          <w:sz w:val="24"/>
          <w:szCs w:val="24"/>
          <w:lang w:val="zh-CN"/>
        </w:rPr>
        <w:t>%,</w:t>
      </w:r>
      <w:r>
        <w:rPr>
          <w:rFonts w:hint="eastAsia" w:asciiTheme="minorEastAsia" w:hAnsiTheme="minorEastAsia" w:eastAsiaTheme="minorEastAsia" w:cstheme="minorEastAsia"/>
          <w:b w:val="0"/>
          <w:bCs w:val="0"/>
          <w:color w:val="auto"/>
          <w:sz w:val="24"/>
          <w:szCs w:val="24"/>
        </w:rPr>
        <w:t>主要原因</w:t>
      </w:r>
      <w:r>
        <w:rPr>
          <w:rFonts w:hint="eastAsia" w:asciiTheme="minorEastAsia" w:hAnsiTheme="minorEastAsia" w:eastAsiaTheme="minorEastAsia" w:cstheme="minorEastAsia"/>
          <w:b w:val="0"/>
          <w:bCs w:val="0"/>
          <w:color w:val="auto"/>
          <w:sz w:val="24"/>
          <w:szCs w:val="24"/>
          <w:lang w:eastAsia="zh-CN"/>
        </w:rPr>
        <w:t>：一</w:t>
      </w:r>
      <w:r>
        <w:rPr>
          <w:rFonts w:hint="eastAsia" w:asciiTheme="minorEastAsia" w:hAnsiTheme="minorEastAsia" w:eastAsiaTheme="minorEastAsia" w:cstheme="minorEastAsia"/>
          <w:b w:val="0"/>
          <w:bCs w:val="0"/>
          <w:color w:val="auto"/>
          <w:sz w:val="24"/>
          <w:szCs w:val="24"/>
        </w:rPr>
        <w:t>是公用经费和人员</w:t>
      </w:r>
      <w:r>
        <w:rPr>
          <w:rFonts w:hint="eastAsia" w:asciiTheme="minorEastAsia" w:hAnsiTheme="minorEastAsia" w:eastAsiaTheme="minorEastAsia" w:cstheme="minorEastAsia"/>
          <w:b w:val="0"/>
          <w:bCs w:val="0"/>
          <w:color w:val="auto"/>
          <w:sz w:val="24"/>
          <w:szCs w:val="24"/>
          <w:lang w:eastAsia="zh-CN"/>
        </w:rPr>
        <w:t>经费</w:t>
      </w:r>
      <w:r>
        <w:rPr>
          <w:rFonts w:hint="eastAsia" w:asciiTheme="minorEastAsia" w:hAnsiTheme="minorEastAsia" w:eastAsiaTheme="minorEastAsia" w:cstheme="minorEastAsia"/>
          <w:b w:val="0"/>
          <w:bCs w:val="0"/>
          <w:color w:val="auto"/>
          <w:sz w:val="24"/>
          <w:szCs w:val="24"/>
        </w:rPr>
        <w:t>增加；二</w:t>
      </w:r>
      <w:r>
        <w:rPr>
          <w:rFonts w:hint="eastAsia" w:asciiTheme="minorEastAsia" w:hAnsiTheme="minorEastAsia" w:eastAsiaTheme="minorEastAsia" w:cstheme="minorEastAsia"/>
          <w:b w:val="0"/>
          <w:bCs w:val="0"/>
          <w:color w:val="auto"/>
          <w:sz w:val="24"/>
          <w:szCs w:val="24"/>
          <w:lang w:val="en-US" w:eastAsia="zh-CN"/>
        </w:rPr>
        <w:t>是</w:t>
      </w:r>
      <w:r>
        <w:rPr>
          <w:rFonts w:hint="eastAsia" w:asciiTheme="minorEastAsia" w:hAnsiTheme="minorEastAsia" w:eastAsiaTheme="minorEastAsia" w:cstheme="minorEastAsia"/>
          <w:b w:val="0"/>
          <w:bCs w:val="0"/>
          <w:color w:val="auto"/>
          <w:sz w:val="24"/>
          <w:szCs w:val="24"/>
          <w:lang w:eastAsia="zh-CN"/>
        </w:rPr>
        <w:t>本年支出增加。</w:t>
      </w:r>
    </w:p>
    <w:p>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144.80万元，主要用于以下方面：社会保障和就业支出5.25万元,占3.63%；卫生健康支出5.23万元,占3.61%；自然资源海洋气象等支出134.32万元,占92.76%。</w:t>
      </w:r>
    </w:p>
    <w:p>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121.08万元,支出决算为144.80万元,完成年初预算的119.59%。其中：</w:t>
      </w:r>
    </w:p>
    <w:p>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1</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年初预算数为12.35万元,支出决算为5.25万元,完成年初预算的42.5%,决算数小于预算数的主要原因是</w:t>
      </w:r>
      <w:r>
        <w:rPr>
          <w:rFonts w:hint="eastAsia" w:ascii="宋体" w:hAnsi="宋体"/>
          <w:color w:val="auto"/>
          <w:sz w:val="24"/>
          <w:szCs w:val="24"/>
          <w:lang w:val="en-US" w:eastAsia="zh-CN"/>
        </w:rPr>
        <w:t>机关养老保险支出。</w:t>
      </w:r>
    </w:p>
    <w:p>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年初预算数为4.42万元,支出决算为5.23万元,完成年初预算的118.29%,决算数大于预算数的主要原因是</w:t>
      </w:r>
      <w:r>
        <w:rPr>
          <w:rFonts w:hint="eastAsia" w:ascii="宋体" w:hAnsi="宋体"/>
          <w:color w:val="auto"/>
          <w:sz w:val="24"/>
          <w:szCs w:val="24"/>
          <w:lang w:val="en-US" w:eastAsia="zh-CN"/>
        </w:rPr>
        <w:t>职工医疗保险支出。</w:t>
      </w:r>
    </w:p>
    <w:p>
      <w:pPr>
        <w:spacing w:before="100" w:beforeLines="0" w:after="100" w:afterLines="0"/>
        <w:jc w:val="left"/>
        <w:rPr>
          <w:rFonts w:hint="eastAsia" w:ascii="宋体" w:hAnsi="宋体"/>
          <w:color w:val="FF0000"/>
          <w:sz w:val="24"/>
          <w:szCs w:val="24"/>
          <w:highlight w:val="white"/>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．自然资源海洋气象等支出</w:t>
      </w:r>
      <w:r>
        <w:rPr>
          <w:rFonts w:hint="eastAsia" w:ascii="宋体" w:hAnsi="宋体"/>
          <w:color w:val="auto"/>
          <w:sz w:val="24"/>
          <w:szCs w:val="24"/>
          <w:lang w:val="zh-CN"/>
        </w:rPr>
        <w:t>年初预算数为104.31万元,支出决算为134.32万元,完成年初预算的128.77%,决算数大于预算数的</w:t>
      </w:r>
      <w:r>
        <w:rPr>
          <w:rFonts w:hint="eastAsia" w:ascii="宋体" w:hAnsi="宋体"/>
          <w:color w:val="auto"/>
          <w:sz w:val="24"/>
          <w:szCs w:val="24"/>
          <w:highlight w:val="white"/>
          <w:lang w:val="zh-CN"/>
        </w:rPr>
        <w:t>主要原因是本年本年资金追加。</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2023年度一般公共预算财政拨款基本支出124.91万元。其中：</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96.61万元,较上年决算数增加</w:t>
      </w:r>
      <w:r>
        <w:rPr>
          <w:rFonts w:hint="eastAsia" w:ascii="宋体" w:hAnsi="宋体"/>
          <w:color w:val="auto"/>
          <w:sz w:val="24"/>
          <w:szCs w:val="24"/>
          <w:lang w:val="en-US" w:eastAsia="zh-CN"/>
        </w:rPr>
        <w:t>15.84</w:t>
      </w:r>
      <w:r>
        <w:rPr>
          <w:rFonts w:hint="eastAsia" w:ascii="宋体" w:hAnsi="宋体"/>
          <w:color w:val="auto"/>
          <w:sz w:val="24"/>
          <w:szCs w:val="24"/>
          <w:lang w:val="zh-CN"/>
        </w:rPr>
        <w:t>万元,增加</w:t>
      </w:r>
      <w:r>
        <w:rPr>
          <w:rFonts w:hint="eastAsia" w:ascii="宋体" w:hAnsi="宋体"/>
          <w:color w:val="auto"/>
          <w:sz w:val="24"/>
          <w:szCs w:val="24"/>
          <w:lang w:val="en-US" w:eastAsia="zh-CN"/>
        </w:rPr>
        <w:t>19.62</w:t>
      </w:r>
      <w:r>
        <w:rPr>
          <w:rFonts w:hint="eastAsia" w:ascii="宋体" w:hAnsi="宋体"/>
          <w:color w:val="auto"/>
          <w:sz w:val="24"/>
          <w:szCs w:val="24"/>
          <w:lang w:val="zh-CN"/>
        </w:rPr>
        <w:t>%,主要原因人员工资增加。人员经费用途主要包括基本工资、津贴补贴、奖金、社会保障缴费。</w:t>
      </w:r>
    </w:p>
    <w:p>
      <w:pPr>
        <w:spacing w:before="100" w:beforeLines="0" w:after="100" w:afterLines="0"/>
        <w:jc w:val="left"/>
        <w:rPr>
          <w:rFonts w:hint="eastAsia" w:ascii="宋体" w:hAnsi="宋体"/>
          <w:color w:val="auto"/>
          <w:sz w:val="24"/>
          <w:szCs w:val="24"/>
          <w:lang w:val="en-US" w:eastAsia="zh-CN"/>
        </w:rPr>
      </w:pPr>
      <w:r>
        <w:rPr>
          <w:rFonts w:hint="eastAsia" w:ascii="宋体" w:hAnsi="宋体"/>
          <w:b/>
          <w:color w:val="auto"/>
          <w:sz w:val="24"/>
          <w:szCs w:val="24"/>
          <w:lang w:val="zh-CN"/>
        </w:rPr>
        <w:t>公用经费</w:t>
      </w:r>
      <w:r>
        <w:rPr>
          <w:rFonts w:hint="eastAsia" w:ascii="宋体" w:hAnsi="宋体"/>
          <w:color w:val="auto"/>
          <w:sz w:val="24"/>
          <w:szCs w:val="24"/>
          <w:lang w:val="zh-CN"/>
        </w:rPr>
        <w:t>28.30万元,较上年决算数减少</w:t>
      </w:r>
      <w:r>
        <w:rPr>
          <w:rFonts w:hint="eastAsia" w:ascii="宋体" w:hAnsi="宋体"/>
          <w:color w:val="auto"/>
          <w:sz w:val="24"/>
          <w:szCs w:val="24"/>
          <w:lang w:val="en-US" w:eastAsia="zh-CN"/>
        </w:rPr>
        <w:t>13.50</w:t>
      </w:r>
      <w:r>
        <w:rPr>
          <w:rFonts w:hint="eastAsia" w:ascii="宋体" w:hAnsi="宋体"/>
          <w:color w:val="auto"/>
          <w:sz w:val="24"/>
          <w:szCs w:val="24"/>
          <w:lang w:val="zh-CN"/>
        </w:rPr>
        <w:t>万元,减少</w:t>
      </w:r>
      <w:r>
        <w:rPr>
          <w:rFonts w:hint="eastAsia" w:ascii="宋体" w:hAnsi="宋体"/>
          <w:color w:val="auto"/>
          <w:sz w:val="24"/>
          <w:szCs w:val="24"/>
          <w:lang w:val="en-US" w:eastAsia="zh-CN"/>
        </w:rPr>
        <w:t>32.31</w:t>
      </w:r>
      <w:r>
        <w:rPr>
          <w:rFonts w:hint="eastAsia" w:ascii="宋体" w:hAnsi="宋体"/>
          <w:color w:val="auto"/>
          <w:sz w:val="24"/>
          <w:szCs w:val="24"/>
          <w:lang w:val="zh-CN"/>
        </w:rPr>
        <w:t>%。公用经费用途办公费、印刷费、</w:t>
      </w:r>
      <w:r>
        <w:rPr>
          <w:rFonts w:hint="eastAsia" w:ascii="宋体" w:hAnsi="宋体"/>
          <w:color w:val="auto"/>
          <w:sz w:val="24"/>
          <w:szCs w:val="24"/>
          <w:lang w:val="en-US" w:eastAsia="zh-CN"/>
        </w:rPr>
        <w:t>邮电费、取暖费、差旅费、劳务费、福利费、工会经费。</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我单位</w:t>
      </w:r>
      <w:r>
        <w:rPr>
          <w:rFonts w:hint="eastAsia" w:ascii="宋体" w:hAnsi="宋体"/>
          <w:color w:val="auto"/>
          <w:sz w:val="24"/>
          <w:szCs w:val="24"/>
          <w:lang w:val="en-US" w:eastAsia="zh-CN"/>
        </w:rPr>
        <w:t>三公经费支出为0元</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numPr>
          <w:ilvl w:val="0"/>
          <w:numId w:val="2"/>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pPr>
        <w:numPr>
          <w:ilvl w:val="0"/>
          <w:numId w:val="3"/>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numPr>
          <w:ilvl w:val="0"/>
          <w:numId w:val="3"/>
        </w:num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numPr>
          <w:ilvl w:val="0"/>
          <w:numId w:val="4"/>
        </w:num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w:t>
      </w:r>
    </w:p>
    <w:p>
      <w:pPr>
        <w:numPr>
          <w:ilvl w:val="0"/>
          <w:numId w:val="0"/>
        </w:numPr>
        <w:spacing w:before="100" w:beforeLines="0" w:after="100" w:afterLines="0"/>
        <w:jc w:val="left"/>
        <w:rPr>
          <w:rFonts w:hint="eastAsia" w:ascii="宋体" w:hAnsi="宋体"/>
          <w:color w:val="FF0000"/>
          <w:sz w:val="24"/>
          <w:szCs w:val="24"/>
          <w:lang w:val="en-US" w:eastAsia="zh-CN"/>
        </w:rPr>
      </w:pPr>
      <w:r>
        <w:rPr>
          <w:rFonts w:hint="eastAsia" w:ascii="宋体" w:hAnsi="宋体"/>
          <w:color w:val="000000" w:themeColor="text1"/>
          <w:sz w:val="24"/>
          <w:szCs w:val="24"/>
          <w:lang w:val="zh-CN"/>
          <w14:textFill>
            <w14:solidFill>
              <w14:schemeClr w14:val="tx1"/>
            </w14:solidFill>
          </w14:textFill>
        </w:rPr>
        <w:t>外事接待费支出0.00</w:t>
      </w:r>
      <w:r>
        <w:rPr>
          <w:rFonts w:hint="eastAsia" w:ascii="宋体" w:hAnsi="宋体"/>
          <w:color w:val="auto"/>
          <w:sz w:val="24"/>
          <w:szCs w:val="24"/>
          <w:lang w:val="zh-CN"/>
        </w:rPr>
        <w:t>万元。</w:t>
      </w:r>
    </w:p>
    <w:p>
      <w:pPr>
        <w:numPr>
          <w:ilvl w:val="0"/>
          <w:numId w:val="0"/>
        </w:numPr>
        <w:spacing w:before="100" w:beforeLines="0" w:after="100" w:afterLines="0"/>
        <w:jc w:val="left"/>
        <w:rPr>
          <w:rFonts w:hint="default" w:ascii="宋体" w:hAnsi="宋体"/>
          <w:color w:val="FF0000"/>
          <w:sz w:val="24"/>
          <w:szCs w:val="24"/>
          <w:lang w:val="en-US" w:eastAsia="zh-CN"/>
        </w:rPr>
      </w:pPr>
      <w:r>
        <w:rPr>
          <w:rFonts w:hint="eastAsia" w:ascii="宋体" w:hAnsi="宋体"/>
          <w:color w:val="000000" w:themeColor="text1"/>
          <w:sz w:val="24"/>
          <w:szCs w:val="24"/>
          <w:lang w:val="en-US" w:eastAsia="zh-CN"/>
          <w14:textFill>
            <w14:solidFill>
              <w14:schemeClr w14:val="tx1"/>
            </w14:solidFill>
          </w14:textFill>
        </w:rPr>
        <w:t>其他国内公务接待支出</w:t>
      </w:r>
      <w:r>
        <w:rPr>
          <w:rFonts w:hint="eastAsia" w:ascii="宋体" w:hAnsi="宋体"/>
          <w:color w:val="000000" w:themeColor="text1"/>
          <w:sz w:val="24"/>
          <w:szCs w:val="24"/>
          <w:lang w:val="zh-CN"/>
          <w14:textFill>
            <w14:solidFill>
              <w14:schemeClr w14:val="tx1"/>
            </w14:solidFill>
          </w14:textFill>
        </w:rPr>
        <w:t>0.00</w:t>
      </w:r>
      <w:r>
        <w:rPr>
          <w:rFonts w:hint="eastAsia" w:ascii="宋体" w:hAnsi="宋体"/>
          <w:color w:val="auto"/>
          <w:sz w:val="24"/>
          <w:szCs w:val="24"/>
          <w:lang w:val="zh-CN"/>
        </w:rPr>
        <w:t>万元。</w:t>
      </w:r>
    </w:p>
    <w:p>
      <w:pPr>
        <w:numPr>
          <w:ilvl w:val="0"/>
          <w:numId w:val="2"/>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批次人,其中：</w:t>
      </w:r>
      <w:r>
        <w:rPr>
          <w:rFonts w:hint="eastAsia" w:ascii="宋体" w:hAnsi="宋体"/>
          <w:b/>
          <w:color w:val="auto"/>
          <w:sz w:val="24"/>
          <w:szCs w:val="24"/>
          <w:lang w:val="zh-CN"/>
        </w:rPr>
        <w:t>外事接待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19.91万元,其中：政府采购货物支出19.91万元、政府采购工程支出0.00万元、政府采购服务支出0.00万元。授予中小企业合同金额19.91万元,占政府采购支出总额的100.00%,其中：授予小微企业合同金额19.91万元,占政府采购支出总额的100.00%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spacing w:before="100" w:beforeLines="0" w:after="100" w:afterLines="0"/>
        <w:jc w:val="left"/>
        <w:rPr>
          <w:rFonts w:hint="eastAsia" w:ascii="宋体" w:hAnsi="宋体"/>
          <w:color w:val="FF0000"/>
          <w:sz w:val="24"/>
          <w:szCs w:val="24"/>
          <w:lang w:val="zh-CN"/>
        </w:rPr>
      </w:pPr>
    </w:p>
    <w:p>
      <w:pPr>
        <w:spacing w:before="100" w:beforeLines="0" w:after="100" w:afterLines="0"/>
        <w:jc w:val="left"/>
        <w:rPr>
          <w:rFonts w:hint="eastAsia" w:ascii="宋体" w:hAnsi="宋体"/>
          <w:color w:val="auto"/>
          <w:sz w:val="24"/>
          <w:szCs w:val="24"/>
          <w:lang w:val="zh-CN"/>
        </w:rPr>
      </w:pP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numPr>
          <w:ilvl w:val="0"/>
          <w:numId w:val="0"/>
        </w:numPr>
        <w:spacing w:before="100" w:beforeLines="0" w:after="100" w:afterLines="0"/>
        <w:ind w:firstLine="480" w:firstLineChars="200"/>
        <w:jc w:val="left"/>
        <w:rPr>
          <w:rFonts w:hint="default" w:ascii="Times New Roman" w:hAnsi="Times New Roman" w:eastAsia="仿宋_GB2312"/>
          <w:color w:val="000000" w:themeColor="text1"/>
          <w:sz w:val="32"/>
          <w:szCs w:val="32"/>
          <w:lang w:val="en-US" w:eastAsia="zh-CN"/>
          <w14:textFill>
            <w14:solidFill>
              <w14:schemeClr w14:val="tx1"/>
            </w14:solidFill>
          </w14:textFill>
        </w:rPr>
      </w:pPr>
      <w:r>
        <w:rPr>
          <w:rFonts w:hint="default" w:ascii="宋体" w:hAnsi="宋体"/>
          <w:color w:val="auto"/>
          <w:sz w:val="24"/>
          <w:szCs w:val="24"/>
          <w:lang w:val="zh-CN"/>
        </w:rPr>
        <w:t>为加强财政支出管理，提高财政资金使用效益，我</w:t>
      </w:r>
      <w:r>
        <w:rPr>
          <w:rFonts w:hint="eastAsia" w:ascii="宋体" w:hAnsi="宋体"/>
          <w:color w:val="auto"/>
          <w:sz w:val="24"/>
          <w:szCs w:val="24"/>
          <w:lang w:val="zh-CN" w:eastAsia="zh-CN"/>
        </w:rPr>
        <w:t>单位</w:t>
      </w:r>
      <w:r>
        <w:rPr>
          <w:rFonts w:hint="default" w:ascii="宋体" w:hAnsi="宋体"/>
          <w:color w:val="auto"/>
          <w:sz w:val="24"/>
          <w:szCs w:val="24"/>
          <w:lang w:val="zh-CN"/>
        </w:rPr>
        <w:t>对整体支出进行了绩效自评。</w:t>
      </w:r>
      <w:r>
        <w:rPr>
          <w:rFonts w:hint="eastAsia" w:ascii="宋体" w:hAnsi="宋体"/>
          <w:color w:val="auto"/>
          <w:sz w:val="24"/>
          <w:szCs w:val="24"/>
          <w:lang w:val="zh-CN" w:eastAsia="zh-CN"/>
        </w:rPr>
        <w:t>根据预算绩效管理要求，本部门于</w:t>
      </w:r>
      <w:r>
        <w:rPr>
          <w:rFonts w:hint="eastAsia" w:ascii="宋体" w:hAnsi="宋体"/>
          <w:color w:val="auto"/>
          <w:sz w:val="24"/>
          <w:szCs w:val="24"/>
          <w:lang w:val="en-US" w:eastAsia="zh-CN"/>
        </w:rPr>
        <w:t>2023</w:t>
      </w:r>
      <w:r>
        <w:rPr>
          <w:rFonts w:hint="eastAsia" w:ascii="宋体" w:hAnsi="宋体"/>
          <w:color w:val="auto"/>
          <w:sz w:val="24"/>
          <w:szCs w:val="24"/>
          <w:lang w:val="zh-CN" w:eastAsia="zh-CN"/>
        </w:rPr>
        <w:t>年末，对</w:t>
      </w:r>
      <w:r>
        <w:rPr>
          <w:rFonts w:hint="eastAsia" w:ascii="宋体" w:hAnsi="宋体"/>
          <w:color w:val="auto"/>
          <w:sz w:val="24"/>
          <w:szCs w:val="24"/>
          <w:lang w:val="en-US" w:eastAsia="zh-CN"/>
        </w:rPr>
        <w:t>我单位整体支出</w:t>
      </w:r>
      <w:r>
        <w:rPr>
          <w:rFonts w:hint="eastAsia" w:ascii="宋体" w:hAnsi="宋体"/>
          <w:color w:val="auto"/>
          <w:sz w:val="24"/>
          <w:szCs w:val="24"/>
          <w:lang w:val="zh-CN" w:eastAsia="zh-CN"/>
        </w:rPr>
        <w:t>开展了绩效自评，涉及资金</w:t>
      </w:r>
      <w:r>
        <w:rPr>
          <w:rFonts w:hint="eastAsia" w:ascii="宋体" w:hAnsi="宋体"/>
          <w:color w:val="auto"/>
          <w:sz w:val="24"/>
          <w:szCs w:val="24"/>
          <w:lang w:val="en-US" w:eastAsia="zh-CN"/>
        </w:rPr>
        <w:t>144.80</w:t>
      </w:r>
      <w:r>
        <w:rPr>
          <w:rFonts w:hint="eastAsia" w:ascii="宋体" w:hAnsi="宋体"/>
          <w:color w:val="auto"/>
          <w:sz w:val="24"/>
          <w:szCs w:val="24"/>
          <w:lang w:val="zh-CN" w:eastAsia="zh-CN"/>
        </w:rPr>
        <w:t>万元，占一般公共预算整体支出总额的</w:t>
      </w:r>
      <w:r>
        <w:rPr>
          <w:rFonts w:hint="eastAsia" w:ascii="宋体" w:hAnsi="宋体"/>
          <w:color w:val="auto"/>
          <w:sz w:val="24"/>
          <w:szCs w:val="24"/>
          <w:lang w:val="en-US" w:eastAsia="zh-CN"/>
        </w:rPr>
        <w:t>100</w:t>
      </w:r>
      <w:r>
        <w:rPr>
          <w:rFonts w:hint="eastAsia" w:ascii="宋体" w:hAnsi="宋体"/>
          <w:color w:val="auto"/>
          <w:sz w:val="24"/>
          <w:szCs w:val="24"/>
          <w:lang w:val="zh-CN" w:eastAsia="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pPr>
        <w:keepNext/>
        <w:keepLines/>
        <w:suppressLineNumbers/>
        <w:spacing w:beforeLines="0" w:afterLines="0"/>
        <w:ind w:firstLine="360" w:firstLineChars="150"/>
        <w:jc w:val="both"/>
        <w:rPr>
          <w:rFonts w:hint="default" w:ascii="宋体" w:hAnsi="宋体" w:eastAsia="宋体" w:cs="宋体"/>
          <w:color w:val="000000"/>
          <w:kern w:val="0"/>
          <w:sz w:val="24"/>
          <w:szCs w:val="24"/>
          <w:highlight w:val="none"/>
          <w:lang w:val="en-US"/>
        </w:rPr>
      </w:pPr>
      <w:r>
        <w:rPr>
          <w:rFonts w:hint="eastAsia" w:ascii="宋体" w:hAnsi="宋体" w:cs="宋体"/>
          <w:color w:val="000000"/>
          <w:kern w:val="0"/>
          <w:sz w:val="24"/>
          <w:szCs w:val="24"/>
          <w:highlight w:val="none"/>
          <w:lang w:val="en-US" w:eastAsia="zh-CN"/>
        </w:rPr>
        <w:t>1.绩效目标自评表（详见附件）</w:t>
      </w:r>
    </w:p>
    <w:p>
      <w:pPr>
        <w:spacing w:before="100" w:beforeLines="0" w:after="100" w:afterLines="0"/>
        <w:ind w:firstLine="480" w:firstLineChars="200"/>
        <w:jc w:val="left"/>
        <w:rPr>
          <w:rFonts w:hint="eastAsia" w:ascii="宋体" w:hAnsi="宋体" w:eastAsia="宋体" w:cstheme="minorBidi"/>
          <w:color w:val="000000"/>
          <w:kern w:val="0"/>
          <w:sz w:val="24"/>
          <w:szCs w:val="24"/>
          <w:lang w:val="en-US" w:eastAsia="zh-CN"/>
        </w:rPr>
      </w:pPr>
      <w:r>
        <w:rPr>
          <w:rFonts w:hint="eastAsia" w:ascii="宋体" w:hAnsi="宋体"/>
          <w:color w:val="auto"/>
          <w:sz w:val="24"/>
          <w:szCs w:val="24"/>
          <w:lang w:val="zh-CN" w:eastAsia="zh-CN"/>
        </w:rPr>
        <w:t>根据年初设定的绩效目标，一般公共预算整体支出自评得分为优，涉及资金</w:t>
      </w:r>
      <w:r>
        <w:rPr>
          <w:rFonts w:hint="eastAsia" w:ascii="宋体" w:hAnsi="宋体"/>
          <w:color w:val="auto"/>
          <w:sz w:val="24"/>
          <w:szCs w:val="24"/>
          <w:lang w:val="en-US" w:eastAsia="zh-CN"/>
        </w:rPr>
        <w:t>144.80</w:t>
      </w:r>
      <w:r>
        <w:rPr>
          <w:rFonts w:hint="eastAsia" w:ascii="宋体" w:hAnsi="宋体"/>
          <w:color w:val="auto"/>
          <w:sz w:val="24"/>
          <w:szCs w:val="24"/>
          <w:lang w:val="zh-CN" w:eastAsia="zh-CN"/>
        </w:rPr>
        <w:t>万元。</w:t>
      </w:r>
      <w:r>
        <w:rPr>
          <w:rFonts w:hint="eastAsia" w:ascii="宋体" w:hAnsi="宋体" w:eastAsia="宋体" w:cstheme="minorBidi"/>
          <w:color w:val="000000"/>
          <w:kern w:val="0"/>
          <w:sz w:val="24"/>
          <w:szCs w:val="24"/>
          <w:lang w:val="en-US" w:eastAsia="zh-CN"/>
        </w:rPr>
        <w:t>主要产出和效果：一是认真贯彻落实厉行节约，降低一般运行</w:t>
      </w:r>
      <w:bookmarkStart w:id="0" w:name="_GoBack"/>
      <w:bookmarkEnd w:id="0"/>
      <w:r>
        <w:rPr>
          <w:rFonts w:hint="eastAsia" w:ascii="宋体" w:hAnsi="宋体" w:eastAsia="宋体" w:cstheme="minorBidi"/>
          <w:color w:val="000000"/>
          <w:kern w:val="0"/>
          <w:sz w:val="24"/>
          <w:szCs w:val="24"/>
          <w:lang w:val="en-US" w:eastAsia="zh-CN"/>
        </w:rPr>
        <w:t>经费，严格加强项目支出管理，按照项目支出用途严格管控。二是严格按照财务管理制度，充分利用公用经费和项目经费有限的资金，在资金使用过程发挥最大效益。三是合理安排支出，保障部门工作正常运转，管理制度健全，资金使用率及时，政务服务情况完成率高</w:t>
      </w:r>
      <w:r>
        <w:rPr>
          <w:rFonts w:hint="eastAsia" w:ascii="宋体" w:hAnsi="宋体" w:cstheme="minorBidi"/>
          <w:color w:val="000000"/>
          <w:kern w:val="0"/>
          <w:sz w:val="24"/>
          <w:szCs w:val="24"/>
          <w:lang w:val="en-US" w:eastAsia="zh-CN"/>
        </w:rPr>
        <w:t>，</w:t>
      </w:r>
      <w:r>
        <w:rPr>
          <w:rFonts w:hint="eastAsia" w:ascii="宋体" w:hAnsi="宋体" w:eastAsia="宋体" w:cstheme="minorBidi"/>
          <w:color w:val="000000"/>
          <w:kern w:val="0"/>
          <w:sz w:val="24"/>
          <w:szCs w:val="24"/>
          <w:lang w:val="en-US" w:eastAsia="zh-CN"/>
        </w:rPr>
        <w:t>社会群众满意度高。</w:t>
      </w:r>
    </w:p>
    <w:p>
      <w:pPr>
        <w:spacing w:before="100" w:beforeLines="0" w:after="100" w:afterLines="0"/>
        <w:ind w:firstLine="480" w:firstLineChars="200"/>
        <w:jc w:val="left"/>
        <w:rPr>
          <w:rFonts w:hint="eastAsia" w:ascii="宋体" w:hAnsi="宋体" w:eastAsia="宋体" w:cstheme="minorBidi"/>
          <w:color w:val="000000"/>
          <w:kern w:val="0"/>
          <w:sz w:val="24"/>
          <w:szCs w:val="24"/>
          <w:lang w:val="en-US" w:eastAsia="zh-CN"/>
        </w:rPr>
      </w:pPr>
      <w:r>
        <w:rPr>
          <w:rFonts w:hint="eastAsia" w:ascii="宋体" w:hAnsi="宋体" w:eastAsia="宋体" w:cstheme="minorBidi"/>
          <w:color w:val="000000"/>
          <w:kern w:val="0"/>
          <w:sz w:val="24"/>
          <w:szCs w:val="24"/>
          <w:lang w:val="en-US" w:eastAsia="zh-CN"/>
        </w:rPr>
        <w:t>发现的主要问题及原因：由于经费支付进度缓慢，严重限制着我单位日常工作的正常运转。    </w:t>
      </w:r>
    </w:p>
    <w:p>
      <w:pPr>
        <w:spacing w:before="100" w:beforeLines="0" w:after="100" w:afterLines="0"/>
        <w:ind w:firstLine="480" w:firstLineChars="200"/>
        <w:jc w:val="left"/>
        <w:rPr>
          <w:rFonts w:hint="default" w:ascii="宋体" w:hAnsi="宋体" w:eastAsia="宋体"/>
          <w:color w:val="auto"/>
          <w:sz w:val="24"/>
          <w:szCs w:val="24"/>
          <w:lang w:val="en-US" w:eastAsia="zh-CN"/>
        </w:rPr>
      </w:pPr>
      <w:r>
        <w:rPr>
          <w:rFonts w:hint="eastAsia" w:ascii="宋体" w:hAnsi="宋体"/>
          <w:color w:val="000000"/>
          <w:kern w:val="0"/>
          <w:sz w:val="24"/>
          <w:szCs w:val="24"/>
          <w:lang w:val="en-US"/>
        </w:rPr>
        <w:t>下一步改进</w:t>
      </w:r>
      <w:r>
        <w:rPr>
          <w:rFonts w:hint="eastAsia" w:ascii="宋体" w:hAnsi="宋体"/>
          <w:color w:val="auto"/>
          <w:kern w:val="0"/>
          <w:sz w:val="24"/>
          <w:szCs w:val="24"/>
          <w:lang w:val="en-US"/>
        </w:rPr>
        <w:t>措施：</w:t>
      </w:r>
      <w:r>
        <w:rPr>
          <w:rFonts w:hint="eastAsia" w:ascii="宋体" w:hAnsi="宋体"/>
          <w:color w:val="auto"/>
          <w:kern w:val="0"/>
          <w:sz w:val="24"/>
          <w:szCs w:val="24"/>
          <w:lang w:val="en-US" w:eastAsia="zh-CN"/>
        </w:rPr>
        <w:t>一</w:t>
      </w:r>
      <w:r>
        <w:rPr>
          <w:rFonts w:hint="eastAsia" w:ascii="宋体" w:hAnsi="宋体"/>
          <w:color w:val="auto"/>
          <w:kern w:val="0"/>
          <w:sz w:val="24"/>
          <w:szCs w:val="24"/>
          <w:lang w:val="en-US"/>
        </w:rPr>
        <w:t>是</w:t>
      </w:r>
      <w:r>
        <w:rPr>
          <w:rFonts w:hint="eastAsia" w:ascii="宋体" w:hAnsi="宋体"/>
          <w:color w:val="auto"/>
          <w:kern w:val="0"/>
          <w:sz w:val="24"/>
          <w:szCs w:val="24"/>
          <w:lang w:val="en-US" w:eastAsia="zh-CN"/>
        </w:rPr>
        <w:t>加快资金支付进度；二是</w:t>
      </w:r>
      <w:r>
        <w:rPr>
          <w:rFonts w:hint="eastAsia" w:ascii="宋体" w:hAnsi="宋体" w:eastAsia="宋体" w:cs="宋体"/>
          <w:b w:val="0"/>
          <w:bCs w:val="0"/>
          <w:i w:val="0"/>
          <w:iCs w:val="0"/>
          <w:caps w:val="0"/>
          <w:color w:val="333333"/>
          <w:spacing w:val="0"/>
          <w:sz w:val="24"/>
          <w:szCs w:val="24"/>
          <w:shd w:val="clear" w:fill="FFFFFF"/>
        </w:rPr>
        <w:t>进一步加强预算管理</w:t>
      </w:r>
      <w:r>
        <w:rPr>
          <w:rFonts w:hint="eastAsia" w:ascii="宋体" w:hAnsi="宋体" w:cs="宋体"/>
          <w:b w:val="0"/>
          <w:bCs w:val="0"/>
          <w:i w:val="0"/>
          <w:iCs w:val="0"/>
          <w:caps w:val="0"/>
          <w:color w:val="333333"/>
          <w:spacing w:val="0"/>
          <w:sz w:val="24"/>
          <w:szCs w:val="24"/>
          <w:shd w:val="clear" w:fill="FFFFFF"/>
          <w:lang w:eastAsia="zh-CN"/>
        </w:rPr>
        <w:t>。</w:t>
      </w: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D0B3F5D2"/>
    <w:multiLevelType w:val="singleLevel"/>
    <w:tmpl w:val="D0B3F5D2"/>
    <w:lvl w:ilvl="0" w:tentative="0">
      <w:start w:val="1"/>
      <w:numFmt w:val="decimal"/>
      <w:lvlText w:val="%1."/>
      <w:lvlJc w:val="left"/>
      <w:pPr>
        <w:tabs>
          <w:tab w:val="left" w:pos="312"/>
        </w:tabs>
      </w:p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5NDU0MWMzNzRiYjM5ZWM5YjNlMjQ0YTc5NmYyYWIifQ=="/>
  </w:docVars>
  <w:rsids>
    <w:rsidRoot w:val="00000000"/>
    <w:rsid w:val="02105FE8"/>
    <w:rsid w:val="190A5EC5"/>
    <w:rsid w:val="3A866A32"/>
    <w:rsid w:val="4AAC03E7"/>
    <w:rsid w:val="59255F76"/>
    <w:rsid w:val="69FE3D34"/>
    <w:rsid w:val="785023D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宋体"/>
      <w:szCs w:val="21"/>
    </w:rPr>
  </w:style>
  <w:style w:type="paragraph" w:styleId="3">
    <w:name w:val="Normal (Web)"/>
    <w:basedOn w:val="1"/>
    <w:qFormat/>
    <w:uiPriority w:val="0"/>
    <w:pPr>
      <w:spacing w:before="100" w:beforeAutospacing="1" w:after="100" w:afterAutospacing="1"/>
      <w:jc w:val="left"/>
    </w:pPr>
    <w:rPr>
      <w:rFonts w:cs="Times New Roman"/>
      <w:sz w:val="24"/>
    </w:rPr>
  </w:style>
  <w:style w:type="table" w:styleId="5">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7">
    <w:name w:val="Body Text Indent 21"/>
    <w:basedOn w:val="1"/>
    <w:qFormat/>
    <w:uiPriority w:val="99"/>
    <w:pPr>
      <w:spacing w:line="480" w:lineRule="auto"/>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dcefea5b-d915-4f29-ad70-6de2c375230f}">
  <ds:schemaRefs/>
</ds:datastoreItem>
</file>

<file path=customXml/itemProps2.xml><?xml version="1.0" encoding="utf-8"?>
<ds:datastoreItem xmlns:ds="http://schemas.openxmlformats.org/officeDocument/2006/customXml" ds:itemID="{e58f653b-303e-46cc-9aa7-03edf5c5bc87}">
  <ds:schemaRefs/>
</ds:datastoreItem>
</file>

<file path=customXml/itemProps3.xml><?xml version="1.0" encoding="utf-8"?>
<ds:datastoreItem xmlns:ds="http://schemas.openxmlformats.org/officeDocument/2006/customXml" ds:itemID="{9138737f-cc0b-44e2-8d1c-26fbdeab65a1}">
  <ds:schemaRefs/>
</ds:datastoreItem>
</file>

<file path=customXml/itemProps4.xml><?xml version="1.0" encoding="utf-8"?>
<ds:datastoreItem xmlns:ds="http://schemas.openxmlformats.org/officeDocument/2006/customXml" ds:itemID="{13c57a8a-de94-4c85-b6e8-e609ecc8f839}">
  <ds:schemaRefs/>
</ds:datastoreItem>
</file>

<file path=customXml/itemProps5.xml><?xml version="1.0" encoding="utf-8"?>
<ds:datastoreItem xmlns:ds="http://schemas.openxmlformats.org/officeDocument/2006/customXml" ds:itemID="{76227bd7-b78d-4fbe-86cb-25b79506202a}">
  <ds:schemaRefs/>
</ds:datastoreItem>
</file>

<file path=customXml/itemProps6.xml><?xml version="1.0" encoding="utf-8"?>
<ds:datastoreItem xmlns:ds="http://schemas.openxmlformats.org/officeDocument/2006/customXml" ds:itemID="{3ec2b709-6112-49b5-81e6-4bf42461360f}">
  <ds:schemaRefs/>
</ds:datastoreItem>
</file>

<file path=customXml/itemProps7.xml><?xml version="1.0" encoding="utf-8"?>
<ds:datastoreItem xmlns:ds="http://schemas.openxmlformats.org/officeDocument/2006/customXml" ds:itemID="{d7679088-22a8-4203-8ec7-f3f86c76a9b2}">
  <ds:schemaRefs/>
</ds:datastoreItem>
</file>

<file path=customXml/itemProps8.xml><?xml version="1.0" encoding="utf-8"?>
<ds:datastoreItem xmlns:ds="http://schemas.openxmlformats.org/officeDocument/2006/customXml" ds:itemID="{70fd80ae-f705-4a86-a6f5-3d62ac62fa79}">
  <ds:schemaRefs/>
</ds:datastoreItem>
</file>

<file path=customXml/itemProps9.xml><?xml version="1.0" encoding="utf-8"?>
<ds:datastoreItem xmlns:ds="http://schemas.openxmlformats.org/officeDocument/2006/customXml" ds:itemID="{aeed0945-0f63-4df5-bb2f-655adf5a53d0}">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13</TotalTime>
  <ScaleCrop>false</ScaleCrop>
  <LinksUpToDate>false</LinksUpToDate>
  <CharactersWithSpaces>19293</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dcterms:modified xsi:type="dcterms:W3CDTF">2024-09-18T02:42:24Z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y fmtid="{D5CDD505-2E9C-101B-9397-08002B2CF9AE}" pid="3" name="ICV">
    <vt:lpwstr>E06D266F13EA4024808CEEADBAD91186_11</vt:lpwstr>
  </property>
</Properties>
</file>