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both"/>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b/>
          <w:bCs/>
          <w:color w:val="auto"/>
          <w:sz w:val="36"/>
          <w:szCs w:val="36"/>
          <w:lang w:val="zh-CN"/>
        </w:rPr>
      </w:pPr>
      <w:r>
        <w:rPr>
          <w:rFonts w:hint="eastAsia" w:ascii="仿宋_GB2312" w:hAnsi="仿宋_GB2312" w:eastAsia="仿宋_GB2312" w:cs="仿宋_GB2312"/>
          <w:b/>
          <w:bCs/>
          <w:color w:val="auto"/>
          <w:sz w:val="36"/>
          <w:szCs w:val="36"/>
          <w:lang w:val="zh-CN"/>
        </w:rPr>
        <w:t>2023年度</w:t>
      </w:r>
    </w:p>
    <w:p>
      <w:pPr>
        <w:spacing w:before="100" w:beforeLines="0" w:after="100" w:afterLines="0"/>
        <w:jc w:val="center"/>
        <w:rPr>
          <w:rFonts w:hint="eastAsia" w:ascii="仿宋_GB2312" w:hAnsi="仿宋_GB2312" w:eastAsia="仿宋_GB2312" w:cs="仿宋_GB2312"/>
          <w:b/>
          <w:bCs/>
          <w:color w:val="auto"/>
          <w:sz w:val="36"/>
          <w:szCs w:val="36"/>
          <w:lang w:val="zh-CN"/>
        </w:rPr>
      </w:pPr>
      <w:r>
        <w:rPr>
          <w:rFonts w:hint="eastAsia" w:ascii="仿宋_GB2312" w:hAnsi="仿宋_GB2312" w:eastAsia="仿宋_GB2312" w:cs="仿宋_GB2312"/>
          <w:b/>
          <w:bCs/>
          <w:color w:val="auto"/>
          <w:sz w:val="36"/>
          <w:szCs w:val="36"/>
          <w:lang w:val="zh-CN"/>
        </w:rPr>
        <w:t>中国人民政治协商会议甘肃省华池县委员会部门决算</w:t>
      </w: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both"/>
        <w:rPr>
          <w:rFonts w:hint="eastAsia" w:ascii="仿宋_GB2312" w:hAnsi="仿宋_GB2312" w:eastAsia="仿宋_GB2312" w:cs="仿宋_GB2312"/>
          <w:color w:val="auto"/>
          <w:sz w:val="32"/>
          <w:szCs w:val="32"/>
          <w:lang w:val="zh-CN"/>
        </w:rPr>
      </w:pPr>
    </w:p>
    <w:p>
      <w:pPr>
        <w:spacing w:before="100" w:beforeLines="0" w:after="100" w:afterLines="0"/>
        <w:jc w:val="both"/>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目录</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第一部分部门概况</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一、部门职责</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一、收入支出决算总体情况说明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四、财政拨款收入支出决算总体情况说明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六、一般公共预算财政拨款基本支出决算情况说明</w:t>
      </w:r>
    </w:p>
    <w:p>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七、政府性基金预算财政拨款收支决算情况说明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八、国有资本经营预算财政拨款支出情况说明</w:t>
      </w:r>
    </w:p>
    <w:p>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九、财政拨款“三公”经费支出决算情况说明</w:t>
      </w:r>
    </w:p>
    <w:p>
      <w:pPr>
        <w:spacing w:before="100" w:beforeLines="0" w:after="100" w:afterLines="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十、机关运行经费支出情况说明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十一、政府采购支出情况说明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十二、国有资产占用情况说明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十三、其他需要说明的情况</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第四部分预算绩效情况说明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第五部分名词解释</w:t>
      </w: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p>
    <w:p>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第一部分部门概况</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一、部门职责</w:t>
      </w:r>
    </w:p>
    <w:p>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Style w:val="6"/>
          <w:rFonts w:hint="eastAsia" w:ascii="仿宋_GB2312" w:hAnsi="仿宋_GB2312" w:eastAsia="仿宋_GB2312" w:cs="仿宋_GB2312"/>
          <w:b w:val="0"/>
          <w:bCs w:val="0"/>
          <w:i w:val="0"/>
          <w:iCs w:val="0"/>
          <w:caps w:val="0"/>
          <w:color w:val="auto"/>
          <w:spacing w:val="0"/>
          <w:sz w:val="32"/>
          <w:szCs w:val="32"/>
          <w:shd w:val="clear" w:fill="FFFFFF"/>
          <w:lang w:val="en-US" w:eastAsia="zh-CN"/>
        </w:rPr>
      </w:pPr>
      <w:r>
        <w:rPr>
          <w:rFonts w:hint="eastAsia" w:ascii="仿宋_GB2312" w:hAnsi="仿宋_GB2312" w:eastAsia="仿宋_GB2312" w:cs="仿宋_GB2312"/>
          <w:color w:val="auto"/>
          <w:sz w:val="32"/>
          <w:szCs w:val="32"/>
          <w:lang w:val="zh-CN"/>
        </w:rPr>
        <w:t>(</w:t>
      </w:r>
      <w:r>
        <w:rPr>
          <w:rStyle w:val="6"/>
          <w:rFonts w:hint="eastAsia" w:ascii="仿宋_GB2312" w:hAnsi="仿宋_GB2312" w:eastAsia="仿宋_GB2312" w:cs="仿宋_GB2312"/>
          <w:b w:val="0"/>
          <w:bCs w:val="0"/>
          <w:i w:val="0"/>
          <w:iCs w:val="0"/>
          <w:caps w:val="0"/>
          <w:color w:val="auto"/>
          <w:spacing w:val="0"/>
          <w:sz w:val="32"/>
          <w:szCs w:val="32"/>
          <w:shd w:val="clear" w:fill="FFFFFF"/>
          <w:lang w:val="en-US" w:eastAsia="zh-CN"/>
        </w:rPr>
        <w:t>坚持和完善中国共产党领导的多党合作和政治协商制度，充分发挥人民政协作为协商民主重要渠道作用，围绕团结和民主两大主题，推进政治协商、民主监督、参政议政制度建设，更好协调关系、汇聚力量、建言献策、服务大局。</w:t>
      </w:r>
    </w:p>
    <w:p>
      <w:pPr>
        <w:spacing w:before="100" w:beforeLines="0" w:after="100" w:afterLines="0"/>
        <w:jc w:val="left"/>
        <w:rPr>
          <w:rFonts w:hint="eastAsia" w:ascii="仿宋_GB2312" w:hAnsi="仿宋_GB2312" w:eastAsia="仿宋_GB2312" w:cs="仿宋_GB2312"/>
          <w:color w:val="auto"/>
          <w:sz w:val="32"/>
          <w:szCs w:val="32"/>
          <w:lang w:val="zh-CN"/>
        </w:rPr>
      </w:pP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二、机构设置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Lines="0" w:beforeAutospacing="0" w:after="195" w:afterLines="0" w:afterAutospacing="0" w:line="555" w:lineRule="atLeast"/>
        <w:ind w:left="0" w:right="0" w:firstLine="645"/>
        <w:jc w:val="left"/>
        <w:rPr>
          <w:rFonts w:hint="eastAsia" w:ascii="仿宋_GB2312" w:hAnsi="仿宋_GB2312" w:eastAsia="仿宋_GB2312" w:cs="仿宋_GB2312"/>
          <w:b w:val="0"/>
          <w:i w:val="0"/>
          <w:caps w:val="0"/>
          <w:color w:val="auto"/>
          <w:spacing w:val="0"/>
          <w:sz w:val="32"/>
          <w:szCs w:val="32"/>
          <w:lang w:eastAsia="zh-CN"/>
        </w:rPr>
      </w:pPr>
      <w:r>
        <w:rPr>
          <w:rFonts w:hint="eastAsia" w:ascii="仿宋_GB2312" w:hAnsi="仿宋_GB2312" w:eastAsia="仿宋_GB2312" w:cs="仿宋_GB2312"/>
          <w:b w:val="0"/>
          <w:i w:val="0"/>
          <w:caps w:val="0"/>
          <w:color w:val="auto"/>
          <w:spacing w:val="0"/>
          <w:sz w:val="32"/>
          <w:szCs w:val="32"/>
          <w:lang w:eastAsia="zh-CN"/>
        </w:rPr>
        <w:t>政协华池县委员会</w:t>
      </w:r>
      <w:r>
        <w:rPr>
          <w:rFonts w:hint="eastAsia" w:ascii="仿宋_GB2312" w:hAnsi="仿宋_GB2312" w:eastAsia="仿宋_GB2312" w:cs="仿宋_GB2312"/>
          <w:b w:val="0"/>
          <w:i w:val="0"/>
          <w:caps w:val="0"/>
          <w:color w:val="auto"/>
          <w:spacing w:val="0"/>
          <w:sz w:val="32"/>
          <w:szCs w:val="32"/>
        </w:rPr>
        <w:t>内设机构</w:t>
      </w:r>
      <w:r>
        <w:rPr>
          <w:rFonts w:hint="eastAsia" w:ascii="仿宋_GB2312" w:hAnsi="仿宋_GB2312" w:eastAsia="仿宋_GB2312" w:cs="仿宋_GB2312"/>
          <w:b w:val="0"/>
          <w:i w:val="0"/>
          <w:caps w:val="0"/>
          <w:color w:val="auto"/>
          <w:spacing w:val="0"/>
          <w:sz w:val="32"/>
          <w:szCs w:val="32"/>
          <w:lang w:val="en-US" w:eastAsia="zh-CN"/>
        </w:rPr>
        <w:t>1个办公室，5</w:t>
      </w:r>
      <w:r>
        <w:rPr>
          <w:rFonts w:hint="eastAsia" w:ascii="仿宋_GB2312" w:hAnsi="仿宋_GB2312" w:eastAsia="仿宋_GB2312" w:cs="仿宋_GB2312"/>
          <w:b w:val="0"/>
          <w:i w:val="0"/>
          <w:caps w:val="0"/>
          <w:color w:val="auto"/>
          <w:spacing w:val="0"/>
          <w:sz w:val="32"/>
          <w:szCs w:val="32"/>
        </w:rPr>
        <w:t>个</w:t>
      </w:r>
      <w:r>
        <w:rPr>
          <w:rFonts w:hint="eastAsia" w:ascii="仿宋_GB2312" w:hAnsi="仿宋_GB2312" w:eastAsia="仿宋_GB2312" w:cs="仿宋_GB2312"/>
          <w:b w:val="0"/>
          <w:i w:val="0"/>
          <w:caps w:val="0"/>
          <w:color w:val="auto"/>
          <w:spacing w:val="0"/>
          <w:sz w:val="32"/>
          <w:szCs w:val="32"/>
          <w:lang w:eastAsia="zh-CN"/>
        </w:rPr>
        <w:t>工委</w:t>
      </w:r>
      <w:r>
        <w:rPr>
          <w:rFonts w:hint="eastAsia" w:ascii="仿宋_GB2312" w:hAnsi="仿宋_GB2312" w:eastAsia="仿宋_GB2312" w:cs="仿宋_GB2312"/>
          <w:b w:val="0"/>
          <w:i w:val="0"/>
          <w:caps w:val="0"/>
          <w:color w:val="auto"/>
          <w:spacing w:val="0"/>
          <w:sz w:val="32"/>
          <w:szCs w:val="32"/>
        </w:rPr>
        <w:t>（</w:t>
      </w:r>
      <w:r>
        <w:rPr>
          <w:rFonts w:hint="eastAsia" w:ascii="仿宋_GB2312" w:hAnsi="仿宋_GB2312" w:eastAsia="仿宋_GB2312" w:cs="仿宋_GB2312"/>
          <w:color w:val="auto"/>
          <w:sz w:val="32"/>
          <w:szCs w:val="32"/>
        </w:rPr>
        <w:t>经济环境资源委员会</w:t>
      </w:r>
      <w:r>
        <w:rPr>
          <w:rFonts w:hint="eastAsia" w:ascii="仿宋_GB2312" w:hAnsi="仿宋_GB2312" w:eastAsia="仿宋_GB2312" w:cs="仿宋_GB2312"/>
          <w:b w:val="0"/>
          <w:i w:val="0"/>
          <w:caps w:val="0"/>
          <w:color w:val="auto"/>
          <w:spacing w:val="0"/>
          <w:sz w:val="32"/>
          <w:szCs w:val="32"/>
          <w:lang w:eastAsia="zh-CN"/>
        </w:rPr>
        <w:t>、</w:t>
      </w:r>
      <w:r>
        <w:rPr>
          <w:rFonts w:hint="eastAsia" w:ascii="仿宋_GB2312" w:hAnsi="仿宋_GB2312" w:eastAsia="仿宋_GB2312" w:cs="仿宋_GB2312"/>
          <w:color w:val="auto"/>
          <w:sz w:val="32"/>
          <w:szCs w:val="32"/>
        </w:rPr>
        <w:t>农业和农村委员会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i w:val="0"/>
          <w:caps w:val="0"/>
          <w:color w:val="auto"/>
          <w:spacing w:val="0"/>
          <w:sz w:val="32"/>
          <w:szCs w:val="32"/>
          <w:lang w:eastAsia="zh-CN"/>
        </w:rPr>
        <w:t>提案社会法制委员会、</w:t>
      </w:r>
      <w:r>
        <w:rPr>
          <w:rFonts w:hint="eastAsia" w:ascii="仿宋_GB2312" w:hAnsi="仿宋_GB2312" w:eastAsia="仿宋_GB2312" w:cs="仿宋_GB2312"/>
          <w:color w:val="auto"/>
          <w:sz w:val="32"/>
          <w:szCs w:val="32"/>
        </w:rPr>
        <w:t>科教卫体委员会</w:t>
      </w:r>
      <w:r>
        <w:rPr>
          <w:rFonts w:hint="eastAsia" w:ascii="仿宋_GB2312" w:hAnsi="仿宋_GB2312" w:eastAsia="仿宋_GB2312" w:cs="仿宋_GB2312"/>
          <w:b w:val="0"/>
          <w:i w:val="0"/>
          <w:caps w:val="0"/>
          <w:color w:val="auto"/>
          <w:spacing w:val="0"/>
          <w:sz w:val="32"/>
          <w:szCs w:val="32"/>
          <w:lang w:eastAsia="zh-CN"/>
        </w:rPr>
        <w:t>、</w:t>
      </w:r>
      <w:r>
        <w:rPr>
          <w:rFonts w:hint="eastAsia" w:ascii="仿宋_GB2312" w:hAnsi="仿宋_GB2312" w:eastAsia="仿宋_GB2312" w:cs="仿宋_GB2312"/>
          <w:color w:val="auto"/>
          <w:sz w:val="32"/>
          <w:szCs w:val="32"/>
        </w:rPr>
        <w:t>文化文史和学习委员会</w:t>
      </w:r>
      <w:r>
        <w:rPr>
          <w:rFonts w:hint="eastAsia" w:ascii="仿宋_GB2312" w:hAnsi="仿宋_GB2312" w:eastAsia="仿宋_GB2312" w:cs="仿宋_GB2312"/>
          <w:b w:val="0"/>
          <w:i w:val="0"/>
          <w:caps w:val="0"/>
          <w:color w:val="auto"/>
          <w:spacing w:val="0"/>
          <w:sz w:val="32"/>
          <w:szCs w:val="32"/>
          <w:lang w:eastAsia="zh-CN"/>
        </w:rPr>
        <w:t>）。</w:t>
      </w:r>
    </w:p>
    <w:p>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见附件：</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七、政府性基金预算财政拨款收入支出决算表（本部门没有相关数据,故本表无数据）</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八、国有资本经营预算财政拨款支出决算表（本部门没有相关数据,故本表无数据）</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p>
    <w:p>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一、收入支出决算总体情况说明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650.92万元。</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减少55.97万元,下降7.92%,主要原因是机关厉行节俭，</w:t>
      </w:r>
      <w:r>
        <w:rPr>
          <w:rFonts w:hint="eastAsia" w:ascii="仿宋_GB2312" w:hAnsi="仿宋_GB2312" w:eastAsia="仿宋_GB2312" w:cs="仿宋_GB2312"/>
          <w:color w:val="auto"/>
          <w:sz w:val="32"/>
          <w:szCs w:val="32"/>
          <w:lang w:val="en-US" w:eastAsia="zh-CN"/>
        </w:rPr>
        <w:t>年度没有安排委员外出考察学习。</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二、收入决算情况说明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2023年度收入合计650.92万元,其中：财政拨款收入650.92万元,占100.00%。</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三、支出决算情况说明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2023年度支出合计650.92万元,其中：基本支出650.92万元,占100.00%。</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四、财政拨款收入支出决算总体情况说明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650.92万元。与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年相比,各减少55.98万元,下降7.92%。主要原因是机关厉行节俭，</w:t>
      </w:r>
      <w:r>
        <w:rPr>
          <w:rFonts w:hint="eastAsia" w:ascii="仿宋_GB2312" w:hAnsi="仿宋_GB2312" w:eastAsia="仿宋_GB2312" w:cs="仿宋_GB2312"/>
          <w:color w:val="auto"/>
          <w:sz w:val="32"/>
          <w:szCs w:val="32"/>
          <w:lang w:val="en-US" w:eastAsia="zh-CN"/>
        </w:rPr>
        <w:t>年度没有安排委员外出考察学习。</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五、一般公共预算财政拨款支出决算情况说明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（一）一般公共预算财政拨款支出决算总体情况</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2023年度一般公共预算财政拨款支出650.92万元,较上年决算数增加48.22万元,增长8.0%。主要原因是人员增加，工资性支持增加，年度安排委员培训。</w:t>
      </w:r>
    </w:p>
    <w:p>
      <w:pPr>
        <w:numPr>
          <w:ilvl w:val="0"/>
          <w:numId w:val="1"/>
        </w:num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一般公共预算财政拨款支出决算结构情况</w:t>
      </w:r>
    </w:p>
    <w:p>
      <w:pPr>
        <w:numPr>
          <w:ilvl w:val="0"/>
          <w:numId w:val="0"/>
        </w:num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2023年度一般公共预算财政拨款支出</w:t>
      </w:r>
      <w:r>
        <w:rPr>
          <w:rFonts w:hint="eastAsia" w:ascii="仿宋_GB2312" w:hAnsi="仿宋_GB2312" w:eastAsia="仿宋_GB2312" w:cs="仿宋_GB2312"/>
          <w:color w:val="auto"/>
          <w:sz w:val="32"/>
          <w:szCs w:val="32"/>
          <w:lang w:val="zh-CN"/>
        </w:rPr>
        <w:t>650.92万元，主要用于以下方面：一般公共服务支出540.30万元,占83.01%；社会保障和就业支出76.63万元,占11.77%；卫生健康支出29.49万元,占4.53%；农林水支出4.50万元,占0.69%；。</w:t>
      </w:r>
    </w:p>
    <w:p>
      <w:pPr>
        <w:numPr>
          <w:ilvl w:val="0"/>
          <w:numId w:val="1"/>
        </w:numPr>
        <w:spacing w:before="100" w:beforeLines="0" w:after="100" w:afterLines="0"/>
        <w:ind w:left="0" w:leftChars="0" w:firstLine="0" w:firstLineChar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一般公共预算财政拨款支出决算具体情况。</w:t>
      </w:r>
    </w:p>
    <w:p>
      <w:pPr>
        <w:numPr>
          <w:ilvl w:val="0"/>
          <w:numId w:val="0"/>
        </w:numPr>
        <w:spacing w:before="100" w:beforeLines="0" w:after="100" w:afterLines="0"/>
        <w:ind w:leftChars="0"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en-US" w:eastAsia="zh-CN"/>
        </w:rPr>
        <w:t>2023年度一般公共预算财政拨款支出年初预算为</w:t>
      </w:r>
      <w:r>
        <w:rPr>
          <w:rFonts w:hint="eastAsia" w:ascii="仿宋_GB2312" w:hAnsi="仿宋_GB2312" w:eastAsia="仿宋_GB2312" w:cs="仿宋_GB2312"/>
          <w:color w:val="auto"/>
          <w:sz w:val="32"/>
          <w:szCs w:val="32"/>
          <w:lang w:val="zh-CN"/>
        </w:rPr>
        <w:t>658.11万元,支出决算为650.92万元,完成年初预算的98.91%。其中：</w:t>
      </w:r>
    </w:p>
    <w:p>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1．一般公共服务支出</w:t>
      </w:r>
      <w:r>
        <w:rPr>
          <w:rFonts w:hint="eastAsia" w:ascii="仿宋_GB2312" w:hAnsi="仿宋_GB2312" w:eastAsia="仿宋_GB2312" w:cs="仿宋_GB2312"/>
          <w:color w:val="auto"/>
          <w:sz w:val="32"/>
          <w:szCs w:val="32"/>
          <w:lang w:val="zh-CN"/>
        </w:rPr>
        <w:t>年初预算数为572.69万元,支出决算为540.30万元,完成年初预算的94.34%,决算数小于预算数的主要原因单位厉行节约，办公室设备，用品开支减少，未安排委员外出考察学习。</w:t>
      </w:r>
    </w:p>
    <w:p>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年初预算数为61.10万元,支出决算为76.63万元,完成年初预算的125.43%,决算数大于预算数的主要原因是养老、失</w:t>
      </w:r>
      <w:bookmarkStart w:id="2" w:name="_GoBack"/>
      <w:bookmarkEnd w:id="2"/>
      <w:r>
        <w:rPr>
          <w:rFonts w:hint="eastAsia" w:ascii="仿宋_GB2312" w:hAnsi="仿宋_GB2312" w:eastAsia="仿宋_GB2312" w:cs="仿宋_GB2312"/>
          <w:color w:val="auto"/>
          <w:sz w:val="32"/>
          <w:szCs w:val="32"/>
          <w:lang w:val="zh-CN"/>
        </w:rPr>
        <w:t>业、工伤保险按实际核准支出，调整年初预算数。</w:t>
      </w:r>
    </w:p>
    <w:p>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年初预算数为24.32万元,支出决算为29.49万元,完成年初预算的121.25%,决算数大于预算数的主要原因是医疗保险按实际核准支出，调整年初预算数。</w:t>
      </w:r>
    </w:p>
    <w:p>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lang w:val="zh-CN"/>
        </w:rPr>
        <w:t>．农林水支出</w:t>
      </w:r>
      <w:r>
        <w:rPr>
          <w:rFonts w:hint="eastAsia" w:ascii="仿宋_GB2312" w:hAnsi="仿宋_GB2312" w:eastAsia="仿宋_GB2312" w:cs="仿宋_GB2312"/>
          <w:color w:val="auto"/>
          <w:sz w:val="32"/>
          <w:szCs w:val="32"/>
          <w:lang w:val="zh-CN"/>
        </w:rPr>
        <w:t>年初预算数为0.00万元,支出决算为4.50万元,完成年初预算的%,决算数大于预算数的主要原因是上级安排驻村工作经费支出。</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六、一般公共预算财政拨款基本支出决算情况说明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2023年度一般公共预算财政拨款基本支出650.92万元。其中：</w:t>
      </w: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543.99万元,较上年决算数增加131.09万元,增长31.75%,主要原因是有新调入工作人员，人员经费用途主要包括基本工资、津贴补贴、奖金、社会保障缴费。</w:t>
      </w:r>
    </w:p>
    <w:p>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color w:val="auto"/>
          <w:sz w:val="32"/>
          <w:szCs w:val="32"/>
          <w:lang w:val="zh-CN"/>
        </w:rPr>
        <w:t>106.94万元,较上年决算数减少82.86万元,下降43.66%,主要原因是</w:t>
      </w:r>
      <w:r>
        <w:rPr>
          <w:rFonts w:hint="eastAsia" w:ascii="仿宋_GB2312" w:hAnsi="仿宋_GB2312" w:eastAsia="仿宋_GB2312" w:cs="仿宋_GB2312"/>
          <w:color w:val="auto"/>
          <w:sz w:val="32"/>
          <w:szCs w:val="32"/>
          <w:lang w:val="en-US" w:eastAsia="zh-CN"/>
        </w:rPr>
        <w:t>2023年度没有委员外出考察学习安排，部分经费未实现支付。</w:t>
      </w:r>
      <w:r>
        <w:rPr>
          <w:rFonts w:hint="eastAsia" w:ascii="仿宋_GB2312" w:hAnsi="仿宋_GB2312" w:eastAsia="仿宋_GB2312" w:cs="仿宋_GB2312"/>
          <w:color w:val="auto"/>
          <w:sz w:val="32"/>
          <w:szCs w:val="32"/>
          <w:lang w:val="zh-CN"/>
        </w:rPr>
        <w:t>公用经费用途</w:t>
      </w:r>
      <w:r>
        <w:rPr>
          <w:rFonts w:hint="eastAsia" w:ascii="仿宋_GB2312" w:hAnsi="仿宋_GB2312" w:eastAsia="仿宋_GB2312" w:cs="仿宋_GB2312"/>
          <w:color w:val="auto"/>
          <w:sz w:val="32"/>
          <w:szCs w:val="32"/>
        </w:rPr>
        <w:t>公用经费用途主要包括办公费、印刷费、水费、邮电费、取暖费、差旅费、维修（护）费、租赁费、公务招待费、劳务费、工会经费、福利费、其他交通费用、其他商品和服务支出</w:t>
      </w:r>
      <w:r>
        <w:rPr>
          <w:rFonts w:hint="eastAsia" w:ascii="仿宋_GB2312" w:hAnsi="仿宋_GB2312" w:eastAsia="仿宋_GB2312" w:cs="仿宋_GB2312"/>
          <w:color w:val="auto"/>
          <w:sz w:val="32"/>
          <w:szCs w:val="32"/>
          <w:lang w:eastAsia="zh-CN"/>
        </w:rPr>
        <w:t>。</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六</w:t>
      </w:r>
      <w:r>
        <w:rPr>
          <w:rFonts w:hint="eastAsia" w:ascii="仿宋_GB2312" w:hAnsi="仿宋_GB2312" w:eastAsia="仿宋_GB2312" w:cs="仿宋_GB2312"/>
          <w:b/>
          <w:bCs/>
          <w:color w:val="auto"/>
          <w:sz w:val="32"/>
          <w:szCs w:val="32"/>
          <w:lang w:val="zh-CN" w:eastAsia="zh-CN"/>
        </w:rPr>
        <w:t>、财政拨款“三公”经费支出决算情况说明</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(一)“三公”经费财政拨款支出总体情况说明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2023年度“三公”经费支出</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预算数为3.50万元,支出决算为3.50万元,决算数</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减少18.27</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下降83.93</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2022年度有新购置单位办公用车一辆，而2023年度无此项支出。</w:t>
      </w:r>
    </w:p>
    <w:p>
      <w:pPr>
        <w:numPr>
          <w:ilvl w:val="0"/>
          <w:numId w:val="2"/>
        </w:numPr>
        <w:spacing w:before="100" w:beforeLines="0" w:after="100" w:afterLine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“三公”经费财政拨款支出决算具体情况说明</w:t>
      </w:r>
    </w:p>
    <w:p>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1.因公出国(境)费用</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p>
    <w:p>
      <w:pPr>
        <w:spacing w:before="100" w:beforeLines="0" w:after="100" w:afterLines="0"/>
        <w:ind w:firstLine="643"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color w:val="auto"/>
          <w:sz w:val="32"/>
          <w:szCs w:val="32"/>
          <w:lang w:val="zh-CN"/>
        </w:rPr>
        <w:t>2.公务用车购置及运行维护费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预算数为2.13万元,支出决算为2.13万元,决算</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减少18.69</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下降89.76</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2022年度有新购置单位办公用车一辆，而2023年度无此项支出。</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其中：公务用车购置费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预算数为0.00万元,支出决算为0.00万元,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减少18.78</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下降100.0</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2022年度有新购置单位办公用车一辆，而2023年度无此项支出。</w:t>
      </w:r>
    </w:p>
    <w:p>
      <w:pPr>
        <w:spacing w:before="100" w:beforeLines="0" w:after="100" w:afterLines="0"/>
        <w:jc w:val="left"/>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b/>
          <w:color w:val="auto"/>
          <w:sz w:val="32"/>
          <w:szCs w:val="32"/>
          <w:lang w:val="zh-CN"/>
        </w:rPr>
        <w:t>公务用车运行维护费</w:t>
      </w:r>
      <w:r>
        <w:rPr>
          <w:rFonts w:hint="eastAsia" w:ascii="仿宋_GB2312" w:hAnsi="仿宋_GB2312" w:eastAsia="仿宋_GB2312" w:cs="仿宋_GB2312"/>
          <w:color w:val="auto"/>
          <w:sz w:val="32"/>
          <w:szCs w:val="32"/>
          <w:lang w:val="en-US"/>
        </w:rPr>
        <w:t>全年</w:t>
      </w:r>
      <w:r>
        <w:rPr>
          <w:rFonts w:hint="eastAsia" w:ascii="仿宋_GB2312" w:hAnsi="仿宋_GB2312" w:eastAsia="仿宋_GB2312" w:cs="仿宋_GB2312"/>
          <w:color w:val="auto"/>
          <w:sz w:val="32"/>
          <w:szCs w:val="32"/>
          <w:lang w:val="zh-CN"/>
        </w:rPr>
        <w:t>预算数为2.13万元,支出决算为2.13万元,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增加0.08</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增长4.12</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成品油价格受市场因素影响，价格有所上涨。</w:t>
      </w:r>
    </w:p>
    <w:p>
      <w:pPr>
        <w:numPr>
          <w:ilvl w:val="0"/>
          <w:numId w:val="0"/>
        </w:numPr>
        <w:spacing w:before="100" w:beforeLines="0" w:after="100" w:afterLines="0"/>
        <w:ind w:firstLine="321" w:firstLineChars="1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 xml:space="preserve">  3.</w:t>
      </w:r>
      <w:r>
        <w:rPr>
          <w:rFonts w:hint="eastAsia" w:ascii="仿宋_GB2312" w:hAnsi="仿宋_GB2312" w:eastAsia="仿宋_GB2312" w:cs="仿宋_GB2312"/>
          <w:b/>
          <w:color w:val="auto"/>
          <w:sz w:val="32"/>
          <w:szCs w:val="32"/>
          <w:lang w:val="zh-CN"/>
        </w:rPr>
        <w:t>公务接待费</w:t>
      </w:r>
      <w:r>
        <w:rPr>
          <w:rFonts w:hint="eastAsia" w:ascii="仿宋_GB2312" w:hAnsi="仿宋_GB2312" w:eastAsia="仿宋_GB2312" w:cs="仿宋_GB2312"/>
          <w:color w:val="auto"/>
          <w:sz w:val="32"/>
          <w:szCs w:val="32"/>
          <w:lang w:val="en-US"/>
        </w:rPr>
        <w:t>全</w:t>
      </w:r>
      <w:r>
        <w:rPr>
          <w:rFonts w:hint="eastAsia" w:ascii="仿宋_GB2312" w:hAnsi="仿宋_GB2312" w:eastAsia="仿宋_GB2312" w:cs="仿宋_GB2312"/>
          <w:color w:val="auto"/>
          <w:sz w:val="32"/>
          <w:szCs w:val="32"/>
          <w:lang w:val="zh-CN"/>
        </w:rPr>
        <w:t>年预算数为1.37万元,支出决算为1.37万元,</w:t>
      </w:r>
      <w:r>
        <w:rPr>
          <w:rFonts w:hint="eastAsia" w:ascii="仿宋_GB2312" w:hAnsi="仿宋_GB2312" w:eastAsia="仿宋_GB2312" w:cs="仿宋_GB2312"/>
          <w:color w:val="auto"/>
          <w:sz w:val="32"/>
          <w:szCs w:val="32"/>
          <w:lang w:val="en-US"/>
        </w:rPr>
        <w:t>较上年决算数</w:t>
      </w:r>
      <w:r>
        <w:rPr>
          <w:rFonts w:hint="eastAsia" w:ascii="仿宋_GB2312" w:hAnsi="仿宋_GB2312" w:eastAsia="仿宋_GB2312" w:cs="仿宋_GB2312"/>
          <w:color w:val="auto"/>
          <w:sz w:val="32"/>
          <w:szCs w:val="32"/>
          <w:lang w:val="en-US" w:eastAsia="zh-CN"/>
        </w:rPr>
        <w:t>增加0.42</w:t>
      </w:r>
      <w:r>
        <w:rPr>
          <w:rFonts w:hint="eastAsia" w:ascii="仿宋_GB2312" w:hAnsi="仿宋_GB2312" w:eastAsia="仿宋_GB2312" w:cs="仿宋_GB2312"/>
          <w:color w:val="auto"/>
          <w:sz w:val="32"/>
          <w:szCs w:val="32"/>
          <w:lang w:val="zh-CN"/>
        </w:rPr>
        <w:t>万元</w:t>
      </w:r>
      <w:r>
        <w:rPr>
          <w:rFonts w:hint="eastAsia" w:ascii="仿宋_GB2312" w:hAnsi="仿宋_GB2312" w:eastAsia="仿宋_GB2312" w:cs="仿宋_GB2312"/>
          <w:color w:val="auto"/>
          <w:sz w:val="32"/>
          <w:szCs w:val="32"/>
          <w:lang w:val="en-US"/>
        </w:rPr>
        <w:t>,</w:t>
      </w:r>
      <w:r>
        <w:rPr>
          <w:rFonts w:hint="eastAsia" w:ascii="仿宋_GB2312" w:hAnsi="仿宋_GB2312" w:eastAsia="仿宋_GB2312" w:cs="仿宋_GB2312"/>
          <w:color w:val="auto"/>
          <w:sz w:val="32"/>
          <w:szCs w:val="32"/>
          <w:lang w:val="en-US" w:eastAsia="zh-CN"/>
        </w:rPr>
        <w:t>增长44.31</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,主要原因是</w:t>
      </w:r>
      <w:r>
        <w:rPr>
          <w:rFonts w:hint="eastAsia" w:ascii="仿宋_GB2312" w:hAnsi="仿宋_GB2312" w:eastAsia="仿宋_GB2312" w:cs="仿宋_GB2312"/>
          <w:color w:val="auto"/>
          <w:sz w:val="32"/>
          <w:szCs w:val="32"/>
          <w:lang w:val="en-US" w:eastAsia="zh-CN"/>
        </w:rPr>
        <w:t>国内政协部门赴南梁学习活动增多。</w:t>
      </w:r>
    </w:p>
    <w:p>
      <w:pPr>
        <w:numPr>
          <w:ilvl w:val="0"/>
          <w:numId w:val="0"/>
        </w:num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rPr>
        <w:t>外事接待费支出0.00万元。</w:t>
      </w:r>
    </w:p>
    <w:p>
      <w:pPr>
        <w:numPr>
          <w:ilvl w:val="0"/>
          <w:numId w:val="0"/>
        </w:numPr>
        <w:spacing w:before="100" w:beforeLines="0" w:after="100" w:afterLines="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其他国内公务接待支出</w:t>
      </w:r>
      <w:r>
        <w:rPr>
          <w:rFonts w:hint="eastAsia" w:ascii="仿宋_GB2312" w:hAnsi="仿宋_GB2312" w:eastAsia="仿宋_GB2312" w:cs="仿宋_GB2312"/>
          <w:color w:val="auto"/>
          <w:sz w:val="32"/>
          <w:szCs w:val="32"/>
          <w:lang w:val="zh-CN"/>
        </w:rPr>
        <w:t>1.37万元。主要是</w:t>
      </w:r>
      <w:r>
        <w:rPr>
          <w:rFonts w:hint="eastAsia" w:ascii="仿宋_GB2312" w:hAnsi="仿宋_GB2312" w:eastAsia="仿宋_GB2312" w:cs="仿宋_GB2312"/>
          <w:color w:val="auto"/>
          <w:sz w:val="32"/>
          <w:szCs w:val="32"/>
          <w:lang w:val="en-US" w:eastAsia="zh-CN"/>
        </w:rPr>
        <w:t>用于国内政协部门赴南梁学习联谊交流接待费。</w:t>
      </w:r>
    </w:p>
    <w:p>
      <w:pPr>
        <w:numPr>
          <w:ilvl w:val="0"/>
          <w:numId w:val="2"/>
        </w:numPr>
        <w:spacing w:before="100" w:beforeLines="0" w:after="100" w:afterLines="0"/>
        <w:ind w:left="0" w:leftChars="0" w:firstLine="0" w:firstLineChar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“三公”经费财政拨款支出决算实物量情况</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共计个团组,人；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为1辆；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color w:val="auto"/>
          <w:sz w:val="32"/>
          <w:szCs w:val="32"/>
          <w:lang w:val="zh-CN"/>
        </w:rPr>
        <w:t>15批次120人,其中：</w:t>
      </w:r>
      <w:r>
        <w:rPr>
          <w:rFonts w:hint="eastAsia" w:ascii="仿宋_GB2312" w:hAnsi="仿宋_GB2312" w:eastAsia="仿宋_GB2312" w:cs="仿宋_GB2312"/>
          <w:b/>
          <w:color w:val="auto"/>
          <w:sz w:val="32"/>
          <w:szCs w:val="32"/>
          <w:lang w:val="zh-CN"/>
        </w:rPr>
        <w:t>外事接待</w:t>
      </w:r>
      <w:r>
        <w:rPr>
          <w:rFonts w:hint="eastAsia" w:ascii="仿宋_GB2312" w:hAnsi="仿宋_GB2312" w:eastAsia="仿宋_GB2312" w:cs="仿宋_GB2312"/>
          <w:color w:val="auto"/>
          <w:sz w:val="32"/>
          <w:szCs w:val="32"/>
          <w:lang w:val="zh-CN"/>
        </w:rPr>
        <w:t>批次,人；</w:t>
      </w:r>
      <w:r>
        <w:rPr>
          <w:rFonts w:hint="eastAsia" w:ascii="仿宋_GB2312" w:hAnsi="仿宋_GB2312" w:eastAsia="仿宋_GB2312" w:cs="仿宋_GB2312"/>
          <w:b/>
          <w:color w:val="auto"/>
          <w:sz w:val="32"/>
          <w:szCs w:val="32"/>
          <w:lang w:val="zh-CN"/>
        </w:rPr>
        <w:t>国(境)外公务接待</w:t>
      </w:r>
      <w:r>
        <w:rPr>
          <w:rFonts w:hint="eastAsia" w:ascii="仿宋_GB2312" w:hAnsi="仿宋_GB2312" w:eastAsia="仿宋_GB2312" w:cs="仿宋_GB2312"/>
          <w:b/>
          <w:color w:val="auto"/>
          <w:sz w:val="32"/>
          <w:szCs w:val="32"/>
          <w:lang w:val="en-US" w:eastAsia="zh-CN"/>
        </w:rPr>
        <w:t>0</w:t>
      </w:r>
      <w:r>
        <w:rPr>
          <w:rFonts w:hint="eastAsia" w:ascii="仿宋_GB2312" w:hAnsi="仿宋_GB2312" w:eastAsia="仿宋_GB2312" w:cs="仿宋_GB2312"/>
          <w:color w:val="auto"/>
          <w:sz w:val="32"/>
          <w:szCs w:val="32"/>
          <w:lang w:val="zh-CN"/>
        </w:rPr>
        <w:t>批次,</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val="zh-CN"/>
        </w:rPr>
        <w:t>人。</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w:t>
      </w:r>
      <w:r>
        <w:rPr>
          <w:rFonts w:hint="eastAsia" w:ascii="仿宋_GB2312" w:hAnsi="仿宋_GB2312" w:eastAsia="仿宋_GB2312" w:cs="仿宋_GB2312"/>
          <w:b/>
          <w:bCs/>
          <w:color w:val="auto"/>
          <w:sz w:val="32"/>
          <w:szCs w:val="32"/>
          <w:lang w:val="zh-CN" w:eastAsia="zh-CN"/>
        </w:rPr>
        <w:t>、机关运行经费支出情况说明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2023年度本部门机关运行经费支出106.94万元,机关运行经费主要用于开支</w:t>
      </w:r>
      <w:r>
        <w:rPr>
          <w:rFonts w:hint="eastAsia" w:ascii="仿宋_GB2312" w:hAnsi="仿宋_GB2312" w:eastAsia="仿宋_GB2312" w:cs="仿宋_GB2312"/>
          <w:color w:val="auto"/>
          <w:sz w:val="32"/>
          <w:szCs w:val="32"/>
        </w:rPr>
        <w:t>办公费、印刷费、水费、邮电费、取暖费、差旅费、维修（护）费、租赁费、公务招待费、劳务费、工会经费、福利费、其他交通费用、其他商品和服务支出</w:t>
      </w:r>
      <w:r>
        <w:rPr>
          <w:rFonts w:hint="eastAsia" w:ascii="仿宋_GB2312" w:hAnsi="仿宋_GB2312" w:eastAsia="仿宋_GB2312" w:cs="仿宋_GB2312"/>
          <w:color w:val="auto"/>
          <w:sz w:val="32"/>
          <w:szCs w:val="32"/>
          <w:lang w:val="zh-CN"/>
        </w:rPr>
        <w:t>。。机关运行经费较上年决算数减少82.86万元,下降43.66%,主要原因是办公设施设备购置经费减少，落实过紧日子要求压减外出考察学习支出。</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本年度会议费支出24.34万元,较上年决算数减少23.08万元,下降48.73%,主要原因是</w:t>
      </w:r>
      <w:r>
        <w:rPr>
          <w:rFonts w:hint="eastAsia" w:ascii="仿宋_GB2312" w:hAnsi="仿宋_GB2312" w:eastAsia="仿宋_GB2312" w:cs="仿宋_GB2312"/>
          <w:color w:val="auto"/>
          <w:sz w:val="32"/>
          <w:szCs w:val="32"/>
          <w:lang w:val="en-US" w:eastAsia="zh-CN"/>
        </w:rPr>
        <w:t>2023年度未受新冠疫情影响，减少疫情防控开支</w:t>
      </w:r>
      <w:r>
        <w:rPr>
          <w:rFonts w:hint="eastAsia" w:ascii="仿宋_GB2312" w:hAnsi="仿宋_GB2312" w:eastAsia="仿宋_GB2312" w:cs="仿宋_GB2312"/>
          <w:color w:val="auto"/>
          <w:sz w:val="32"/>
          <w:szCs w:val="32"/>
          <w:lang w:val="zh-CN"/>
        </w:rPr>
        <w:t>。本年度培训费支出2.15万元,较上年决算数增加2.15万元,增长%,主要原因是进行了委员履职能力提升培训。</w:t>
      </w:r>
    </w:p>
    <w:p>
      <w:pPr>
        <w:spacing w:before="100" w:beforeLines="0" w:after="100" w:afterLines="0"/>
        <w:ind w:firstLine="643" w:firstLineChars="20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十一、政府采购支出情况说明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政府采购支出合计13.60万元,其中：政府采购货物支出3.83万元、政府采购工程支出0.00万元、政府采购服务支出9.77万元。授予中小企业合同金额13.60万元,占政府采购支出总额的100.00%,其中：授予小微企业合同金额13.60万元,占政府采购支出总额的100.00%。</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en-US" w:eastAsia="zh-CN"/>
        </w:rPr>
        <w:t>十二</w:t>
      </w:r>
      <w:r>
        <w:rPr>
          <w:rFonts w:hint="eastAsia" w:ascii="仿宋_GB2312" w:hAnsi="仿宋_GB2312" w:eastAsia="仿宋_GB2312" w:cs="仿宋_GB2312"/>
          <w:b/>
          <w:bCs/>
          <w:color w:val="auto"/>
          <w:sz w:val="32"/>
          <w:szCs w:val="32"/>
          <w:lang w:val="zh-CN" w:eastAsia="zh-CN"/>
        </w:rPr>
        <w:t>、国有资产占用情况说明</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截至2023年12月31日,本部门共有车辆1辆,其中,副部(省)级及以上领导用车0辆、主要领导干部用车1辆、机要通信用车0辆、应急保障用车0辆、执法执勤用车0辆,特种专业技术用车0辆,离退休干部用车0辆,其他用车0辆,。单价100万元(含)以上设备0台(套)。</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十三、其他需要说明的情况</w:t>
      </w:r>
    </w:p>
    <w:p>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pPr>
        <w:spacing w:before="100" w:beforeLines="0" w:after="100" w:afterLines="0"/>
        <w:jc w:val="center"/>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p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一、预算绩效管理工作开展情况</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kern w:val="0"/>
          <w:sz w:val="32"/>
          <w:szCs w:val="32"/>
          <w:lang w:val="en-US"/>
        </w:rPr>
        <w:t>根据预算绩效管理要求,本部门对</w:t>
      </w:r>
      <w:r>
        <w:rPr>
          <w:rFonts w:hint="eastAsia" w:ascii="仿宋_GB2312" w:hAnsi="仿宋_GB2312" w:eastAsia="仿宋_GB2312" w:cs="仿宋_GB2312"/>
          <w:color w:val="auto"/>
          <w:kern w:val="0"/>
          <w:sz w:val="32"/>
          <w:szCs w:val="32"/>
          <w:lang w:val="en-US" w:eastAsia="zh-CN"/>
        </w:rPr>
        <w:t>2023</w:t>
      </w:r>
      <w:r>
        <w:rPr>
          <w:rFonts w:hint="eastAsia" w:ascii="仿宋_GB2312" w:hAnsi="仿宋_GB2312" w:eastAsia="仿宋_GB2312" w:cs="仿宋_GB2312"/>
          <w:color w:val="auto"/>
          <w:kern w:val="0"/>
          <w:sz w:val="32"/>
          <w:szCs w:val="32"/>
          <w:lang w:val="en-US"/>
        </w:rPr>
        <w:t>年度一般公共预算项目支出全面开展绩效自评,</w:t>
      </w:r>
      <w:bookmarkStart w:id="0" w:name="_Toc27554"/>
      <w:bookmarkStart w:id="1" w:name="_Toc14077"/>
      <w:r>
        <w:rPr>
          <w:rFonts w:hint="eastAsia" w:ascii="仿宋_GB2312" w:hAnsi="仿宋_GB2312" w:eastAsia="仿宋_GB2312" w:cs="仿宋_GB2312"/>
          <w:b/>
          <w:bCs/>
          <w:color w:val="auto"/>
          <w:sz w:val="32"/>
          <w:szCs w:val="32"/>
        </w:rPr>
        <w:t>1.绩效自评目的</w:t>
      </w:r>
      <w:bookmarkEnd w:id="0"/>
      <w:bookmarkEnd w:id="1"/>
      <w:r>
        <w:rPr>
          <w:rFonts w:hint="eastAsia" w:ascii="仿宋_GB2312" w:hAnsi="仿宋_GB2312" w:eastAsia="仿宋_GB2312" w:cs="仿宋_GB2312"/>
          <w:color w:val="auto"/>
          <w:sz w:val="32"/>
          <w:szCs w:val="32"/>
        </w:rPr>
        <w:t>根据评价内容，运用科学、规范、合理的评价方法、评价指标体系和评价标准，全面、真实、客观的对本部门预算执行情况以及部门履职效果进行综合评价。为以后年度的强化预算编制、优化财政支出结构、提高财政资金使用效益、保障部门履行职责提供决策参考和依据。</w:t>
      </w:r>
      <w:r>
        <w:rPr>
          <w:rFonts w:hint="eastAsia" w:ascii="仿宋_GB2312" w:hAnsi="仿宋_GB2312" w:eastAsia="仿宋_GB2312" w:cs="仿宋_GB2312"/>
          <w:b/>
          <w:bCs/>
          <w:color w:val="auto"/>
          <w:sz w:val="32"/>
          <w:szCs w:val="32"/>
        </w:rPr>
        <w:t>2.评价内容一是</w:t>
      </w:r>
      <w:r>
        <w:rPr>
          <w:rFonts w:hint="eastAsia" w:ascii="仿宋_GB2312" w:hAnsi="仿宋_GB2312" w:eastAsia="仿宋_GB2312" w:cs="仿宋_GB2312"/>
          <w:color w:val="auto"/>
          <w:sz w:val="32"/>
          <w:szCs w:val="32"/>
        </w:rPr>
        <w:t>部门预算执行情况</w:t>
      </w:r>
      <w:r>
        <w:rPr>
          <w:rFonts w:hint="eastAsia" w:ascii="仿宋_GB2312" w:hAnsi="仿宋_GB2312" w:eastAsia="仿宋_GB2312" w:cs="仿宋_GB2312"/>
          <w:b/>
          <w:bCs/>
          <w:color w:val="auto"/>
          <w:sz w:val="32"/>
          <w:szCs w:val="32"/>
          <w:highlight w:val="none"/>
        </w:rPr>
        <w:t>人员经费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基本工资，津贴补贴，奖金，</w:t>
      </w:r>
      <w:r>
        <w:rPr>
          <w:rFonts w:hint="eastAsia" w:ascii="仿宋_GB2312" w:hAnsi="仿宋_GB2312" w:eastAsia="仿宋_GB2312" w:cs="仿宋_GB2312"/>
          <w:color w:val="auto"/>
          <w:sz w:val="32"/>
          <w:szCs w:val="32"/>
          <w:highlight w:val="none"/>
          <w:lang w:eastAsia="zh-CN"/>
        </w:rPr>
        <w:t>绩效</w:t>
      </w:r>
      <w:r>
        <w:rPr>
          <w:rFonts w:hint="eastAsia" w:ascii="仿宋_GB2312" w:hAnsi="仿宋_GB2312" w:eastAsia="仿宋_GB2312" w:cs="仿宋_GB2312"/>
          <w:color w:val="auto"/>
          <w:sz w:val="32"/>
          <w:szCs w:val="32"/>
          <w:highlight w:val="none"/>
        </w:rPr>
        <w:t>工资，养老保险，医疗保险，其他社保，退休职工生活补助等</w:t>
      </w:r>
      <w:r>
        <w:rPr>
          <w:rFonts w:hint="eastAsia" w:ascii="仿宋_GB2312" w:hAnsi="仿宋_GB2312" w:eastAsia="仿宋_GB2312" w:cs="仿宋_GB2312"/>
          <w:color w:val="auto"/>
          <w:sz w:val="32"/>
          <w:szCs w:val="32"/>
          <w:highlight w:val="none"/>
          <w:lang w:val="en-US" w:eastAsia="zh-CN"/>
        </w:rPr>
        <w:t>预算金额</w:t>
      </w:r>
      <w:r>
        <w:rPr>
          <w:rFonts w:hint="eastAsia" w:ascii="仿宋_GB2312" w:hAnsi="仿宋_GB2312" w:eastAsia="仿宋_GB2312" w:cs="仿宋_GB2312"/>
          <w:color w:val="auto"/>
          <w:sz w:val="32"/>
          <w:szCs w:val="32"/>
          <w:lang w:val="zh-CN"/>
        </w:rPr>
        <w:t>543.99万元</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lang w:val="zh-CN"/>
        </w:rPr>
        <w:t>543.99万元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公用经费</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color w:val="auto"/>
          <w:sz w:val="32"/>
          <w:szCs w:val="32"/>
          <w:highlight w:val="none"/>
        </w:rPr>
        <w:t>办公费，</w:t>
      </w:r>
      <w:r>
        <w:rPr>
          <w:rFonts w:hint="eastAsia" w:ascii="仿宋_GB2312" w:hAnsi="仿宋_GB2312" w:eastAsia="仿宋_GB2312" w:cs="仿宋_GB2312"/>
          <w:color w:val="auto"/>
          <w:sz w:val="32"/>
          <w:szCs w:val="32"/>
          <w:highlight w:val="none"/>
          <w:lang w:eastAsia="zh-CN"/>
        </w:rPr>
        <w:t>差旅</w:t>
      </w:r>
      <w:r>
        <w:rPr>
          <w:rFonts w:hint="eastAsia" w:ascii="仿宋_GB2312" w:hAnsi="仿宋_GB2312" w:eastAsia="仿宋_GB2312" w:cs="仿宋_GB2312"/>
          <w:color w:val="auto"/>
          <w:sz w:val="32"/>
          <w:szCs w:val="32"/>
          <w:highlight w:val="none"/>
          <w:lang w:val="en-US" w:eastAsia="zh-CN"/>
        </w:rPr>
        <w:t>费</w:t>
      </w:r>
      <w:r>
        <w:rPr>
          <w:rFonts w:hint="eastAsia" w:ascii="仿宋_GB2312" w:hAnsi="仿宋_GB2312" w:eastAsia="仿宋_GB2312" w:cs="仿宋_GB2312"/>
          <w:color w:val="auto"/>
          <w:sz w:val="32"/>
          <w:szCs w:val="32"/>
          <w:highlight w:val="none"/>
        </w:rPr>
        <w:t>，工会经</w:t>
      </w:r>
      <w:r>
        <w:rPr>
          <w:rFonts w:hint="eastAsia" w:ascii="仿宋_GB2312" w:hAnsi="仿宋_GB2312" w:eastAsia="仿宋_GB2312" w:cs="仿宋_GB2312"/>
          <w:color w:val="auto"/>
          <w:sz w:val="32"/>
          <w:szCs w:val="32"/>
          <w:highlight w:val="none"/>
          <w:lang w:val="en-US" w:eastAsia="zh-CN"/>
        </w:rPr>
        <w:t>费</w:t>
      </w:r>
      <w:r>
        <w:rPr>
          <w:rFonts w:hint="eastAsia" w:ascii="仿宋_GB2312" w:hAnsi="仿宋_GB2312" w:eastAsia="仿宋_GB2312" w:cs="仿宋_GB2312"/>
          <w:color w:val="auto"/>
          <w:sz w:val="32"/>
          <w:szCs w:val="32"/>
          <w:highlight w:val="none"/>
        </w:rPr>
        <w:t>，福利</w:t>
      </w:r>
      <w:r>
        <w:rPr>
          <w:rFonts w:hint="eastAsia" w:ascii="仿宋_GB2312" w:hAnsi="仿宋_GB2312" w:eastAsia="仿宋_GB2312" w:cs="仿宋_GB2312"/>
          <w:color w:val="auto"/>
          <w:sz w:val="32"/>
          <w:szCs w:val="32"/>
          <w:highlight w:val="none"/>
          <w:lang w:val="en-US" w:eastAsia="zh-CN"/>
        </w:rPr>
        <w:t>费</w:t>
      </w:r>
      <w:r>
        <w:rPr>
          <w:rFonts w:hint="eastAsia" w:ascii="仿宋_GB2312" w:hAnsi="仿宋_GB2312" w:eastAsia="仿宋_GB2312" w:cs="仿宋_GB2312"/>
          <w:color w:val="auto"/>
          <w:sz w:val="32"/>
          <w:szCs w:val="32"/>
          <w:highlight w:val="none"/>
        </w:rPr>
        <w:t>，其他交通费等</w:t>
      </w:r>
      <w:r>
        <w:rPr>
          <w:rFonts w:hint="eastAsia" w:ascii="仿宋_GB2312" w:hAnsi="仿宋_GB2312" w:eastAsia="仿宋_GB2312" w:cs="仿宋_GB2312"/>
          <w:color w:val="auto"/>
          <w:sz w:val="32"/>
          <w:szCs w:val="32"/>
          <w:highlight w:val="none"/>
          <w:lang w:val="en-US" w:eastAsia="zh-CN"/>
        </w:rPr>
        <w:t>预算金额</w:t>
      </w:r>
      <w:r>
        <w:rPr>
          <w:rFonts w:hint="eastAsia" w:ascii="仿宋_GB2312" w:hAnsi="仿宋_GB2312" w:eastAsia="仿宋_GB2312" w:cs="仿宋_GB2312"/>
          <w:color w:val="auto"/>
          <w:sz w:val="32"/>
          <w:szCs w:val="32"/>
          <w:lang w:val="zh-CN"/>
        </w:rPr>
        <w:t>106.94万元</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lang w:val="zh-CN"/>
        </w:rPr>
        <w:t>106.94万元</w:t>
      </w:r>
      <w:r>
        <w:rPr>
          <w:rFonts w:hint="eastAsia" w:ascii="仿宋_GB2312" w:hAnsi="仿宋_GB2312" w:eastAsia="仿宋_GB2312" w:cs="仿宋_GB2312"/>
          <w:color w:val="auto"/>
          <w:sz w:val="32"/>
          <w:szCs w:val="32"/>
          <w:highlight w:val="none"/>
          <w:lang w:val="en-US" w:eastAsia="zh-CN" w:bidi="zh-HK"/>
        </w:rPr>
        <w:t>。</w:t>
      </w:r>
    </w:p>
    <w:p>
      <w:pPr>
        <w:numPr>
          <w:ilvl w:val="0"/>
          <w:numId w:val="3"/>
        </w:numPr>
        <w:spacing w:before="100" w:beforeLines="0" w:after="100" w:afterLines="0"/>
        <w:jc w:val="left"/>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绩效自评结果</w:t>
      </w:r>
    </w:p>
    <w:p>
      <w:pPr>
        <w:keepNext/>
        <w:keepLines/>
        <w:pageBreakBefore w:val="0"/>
        <w:kinsoku/>
        <w:wordWrap/>
        <w:overflowPunct/>
        <w:topLinePunct w:val="0"/>
        <w:autoSpaceDE w:val="0"/>
        <w:autoSpaceDN w:val="0"/>
        <w:bidi w:val="0"/>
        <w:adjustRightInd w:val="0"/>
        <w:snapToGrid/>
        <w:spacing w:line="56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bidi="zh-HK"/>
        </w:rPr>
        <w:t>2023年初财政拨款结转和结余</w:t>
      </w:r>
      <w:r>
        <w:rPr>
          <w:rFonts w:hint="eastAsia" w:ascii="仿宋_GB2312" w:hAnsi="仿宋_GB2312" w:eastAsia="仿宋_GB2312" w:cs="仿宋_GB2312"/>
          <w:color w:val="auto"/>
          <w:sz w:val="32"/>
          <w:szCs w:val="32"/>
          <w:lang w:val="en-US" w:eastAsia="zh-CN" w:bidi="zh-HK"/>
        </w:rPr>
        <w:t>0</w:t>
      </w:r>
      <w:r>
        <w:rPr>
          <w:rFonts w:hint="eastAsia" w:ascii="仿宋_GB2312" w:hAnsi="仿宋_GB2312" w:eastAsia="仿宋_GB2312" w:cs="仿宋_GB2312"/>
          <w:color w:val="auto"/>
          <w:sz w:val="32"/>
          <w:szCs w:val="32"/>
          <w:lang w:bidi="zh-HK"/>
        </w:rPr>
        <w:t>万元，其中一般公共预算财政拨款结转和结余</w:t>
      </w:r>
      <w:r>
        <w:rPr>
          <w:rFonts w:hint="eastAsia" w:ascii="仿宋_GB2312" w:hAnsi="仿宋_GB2312" w:eastAsia="仿宋_GB2312" w:cs="仿宋_GB2312"/>
          <w:color w:val="auto"/>
          <w:sz w:val="32"/>
          <w:szCs w:val="32"/>
          <w:lang w:val="en-US" w:eastAsia="zh-CN" w:bidi="zh-HK"/>
        </w:rPr>
        <w:t>0</w:t>
      </w:r>
      <w:r>
        <w:rPr>
          <w:rFonts w:hint="eastAsia" w:ascii="仿宋_GB2312" w:hAnsi="仿宋_GB2312" w:eastAsia="仿宋_GB2312" w:cs="仿宋_GB2312"/>
          <w:color w:val="auto"/>
          <w:sz w:val="32"/>
          <w:szCs w:val="32"/>
          <w:lang w:bidi="zh-HK"/>
        </w:rPr>
        <w:t>万元，国有资本经营预算财政拨款结转和结余0.00万元。</w:t>
      </w:r>
    </w:p>
    <w:p>
      <w:pPr>
        <w:pageBreakBefore w:val="0"/>
        <w:kinsoku/>
        <w:wordWrap/>
        <w:overflowPunct/>
        <w:topLinePunct w:val="0"/>
        <w:bidi w:val="0"/>
        <w:snapToGrid/>
        <w:spacing w:line="560" w:lineRule="exact"/>
        <w:ind w:firstLine="640" w:firstLineChars="200"/>
        <w:jc w:val="both"/>
        <w:rPr>
          <w:rFonts w:hint="eastAsia" w:ascii="仿宋_GB2312" w:hAnsi="仿宋_GB2312" w:eastAsia="仿宋_GB2312" w:cs="仿宋_GB2312"/>
          <w:color w:val="auto"/>
          <w:sz w:val="32"/>
          <w:szCs w:val="32"/>
          <w:highlight w:val="none"/>
          <w:lang w:bidi="zh-HK"/>
        </w:rPr>
      </w:pPr>
      <w:r>
        <w:rPr>
          <w:rFonts w:hint="eastAsia" w:ascii="仿宋_GB2312" w:hAnsi="仿宋_GB2312" w:eastAsia="仿宋_GB2312" w:cs="仿宋_GB2312"/>
          <w:color w:val="auto"/>
          <w:sz w:val="32"/>
          <w:szCs w:val="32"/>
          <w:lang w:bidi="zh-HK"/>
        </w:rPr>
        <w:t>2023年度财政拨款收入为</w:t>
      </w:r>
      <w:r>
        <w:rPr>
          <w:rFonts w:hint="eastAsia" w:ascii="仿宋_GB2312" w:hAnsi="仿宋_GB2312" w:eastAsia="仿宋_GB2312" w:cs="仿宋_GB2312"/>
          <w:color w:val="auto"/>
          <w:sz w:val="32"/>
          <w:szCs w:val="32"/>
          <w:lang w:val="en-US" w:eastAsia="zh-CN" w:bidi="zh-HK"/>
        </w:rPr>
        <w:t>650.92</w:t>
      </w:r>
      <w:r>
        <w:rPr>
          <w:rFonts w:hint="eastAsia" w:ascii="仿宋_GB2312" w:hAnsi="仿宋_GB2312" w:eastAsia="仿宋_GB2312" w:cs="仿宋_GB2312"/>
          <w:color w:val="auto"/>
          <w:sz w:val="32"/>
          <w:szCs w:val="32"/>
          <w:lang w:bidi="zh-HK"/>
        </w:rPr>
        <w:t>万元。</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收入减少55.97万元,下降7.92%,</w:t>
      </w:r>
      <w:r>
        <w:rPr>
          <w:rFonts w:hint="eastAsia" w:ascii="仿宋_GB2312" w:hAnsi="仿宋_GB2312" w:eastAsia="仿宋_GB2312" w:cs="仿宋_GB2312"/>
          <w:color w:val="auto"/>
          <w:sz w:val="32"/>
          <w:szCs w:val="32"/>
          <w:highlight w:val="none"/>
          <w:lang w:bidi="zh-HK"/>
        </w:rPr>
        <w:t>。</w:t>
      </w:r>
      <w:r>
        <w:rPr>
          <w:rFonts w:hint="eastAsia" w:ascii="仿宋_GB2312" w:hAnsi="仿宋_GB2312" w:eastAsia="仿宋_GB2312" w:cs="仿宋_GB2312"/>
          <w:color w:val="auto"/>
          <w:sz w:val="32"/>
          <w:szCs w:val="32"/>
          <w:lang w:bidi="zh-HK"/>
        </w:rPr>
        <w:t>其中，一般公共预算基本支出财政拨款</w:t>
      </w:r>
      <w:r>
        <w:rPr>
          <w:rFonts w:hint="eastAsia" w:ascii="仿宋_GB2312" w:hAnsi="仿宋_GB2312" w:eastAsia="仿宋_GB2312" w:cs="仿宋_GB2312"/>
          <w:color w:val="auto"/>
          <w:sz w:val="32"/>
          <w:szCs w:val="32"/>
          <w:highlight w:val="none"/>
          <w:lang w:bidi="zh-HK"/>
        </w:rPr>
        <w:t>收入</w:t>
      </w:r>
      <w:r>
        <w:rPr>
          <w:rFonts w:hint="eastAsia" w:ascii="仿宋_GB2312" w:hAnsi="仿宋_GB2312" w:eastAsia="仿宋_GB2312" w:cs="仿宋_GB2312"/>
          <w:color w:val="auto"/>
          <w:sz w:val="32"/>
          <w:szCs w:val="32"/>
          <w:highlight w:val="none"/>
          <w:lang w:val="en-US" w:eastAsia="zh-CN" w:bidi="zh-HK"/>
        </w:rPr>
        <w:t>650.92</w:t>
      </w:r>
      <w:r>
        <w:rPr>
          <w:rFonts w:hint="eastAsia" w:ascii="仿宋_GB2312" w:hAnsi="仿宋_GB2312" w:eastAsia="仿宋_GB2312" w:cs="仿宋_GB2312"/>
          <w:color w:val="auto"/>
          <w:sz w:val="32"/>
          <w:szCs w:val="32"/>
          <w:highlight w:val="none"/>
          <w:lang w:bidi="zh-HK"/>
        </w:rPr>
        <w:t>万元，占一般公共预算财政拨款收入的</w:t>
      </w:r>
      <w:r>
        <w:rPr>
          <w:rFonts w:hint="eastAsia" w:ascii="仿宋_GB2312" w:hAnsi="仿宋_GB2312" w:eastAsia="仿宋_GB2312" w:cs="仿宋_GB2312"/>
          <w:color w:val="auto"/>
          <w:sz w:val="32"/>
          <w:szCs w:val="32"/>
          <w:highlight w:val="none"/>
          <w:lang w:val="en-US" w:eastAsia="zh-CN" w:bidi="zh-HK"/>
        </w:rPr>
        <w:t>100</w:t>
      </w:r>
      <w:r>
        <w:rPr>
          <w:rFonts w:hint="eastAsia" w:ascii="仿宋_GB2312" w:hAnsi="仿宋_GB2312" w:eastAsia="仿宋_GB2312" w:cs="仿宋_GB2312"/>
          <w:color w:val="auto"/>
          <w:sz w:val="32"/>
          <w:szCs w:val="32"/>
          <w:highlight w:val="none"/>
          <w:lang w:bidi="zh-HK"/>
        </w:rPr>
        <w:t>%。</w:t>
      </w:r>
    </w:p>
    <w:p>
      <w:pPr>
        <w:keepNext w:val="0"/>
        <w:keepLines w:val="0"/>
        <w:pageBreakBefore w:val="0"/>
        <w:widowControl w:val="0"/>
        <w:numPr>
          <w:ilvl w:val="0"/>
          <w:numId w:val="0"/>
        </w:numPr>
        <w:tabs>
          <w:tab w:val="left" w:pos="10490"/>
        </w:tabs>
        <w:kinsoku/>
        <w:wordWrap/>
        <w:overflowPunct/>
        <w:topLinePunct w:val="0"/>
        <w:autoSpaceDE w:val="0"/>
        <w:autoSpaceDN w:val="0"/>
        <w:bidi w:val="0"/>
        <w:adjustRightInd w:val="0"/>
        <w:snapToGrid/>
        <w:spacing w:line="640" w:lineRule="exact"/>
        <w:ind w:firstLine="640" w:firstLineChars="200"/>
        <w:textAlignment w:val="auto"/>
        <w:rPr>
          <w:rFonts w:hint="eastAsia" w:ascii="仿宋_GB2312" w:hAnsi="仿宋_GB2312" w:eastAsia="仿宋_GB2312" w:cs="仿宋_GB2312"/>
          <w:color w:val="auto"/>
          <w:sz w:val="32"/>
          <w:szCs w:val="32"/>
          <w:lang w:eastAsia="zh-CN" w:bidi="zh-HK"/>
        </w:rPr>
      </w:pPr>
      <w:r>
        <w:rPr>
          <w:rFonts w:hint="eastAsia" w:ascii="仿宋_GB2312" w:hAnsi="仿宋_GB2312" w:eastAsia="仿宋_GB2312" w:cs="仿宋_GB2312"/>
          <w:color w:val="auto"/>
          <w:sz w:val="32"/>
          <w:szCs w:val="32"/>
          <w:highlight w:val="none"/>
          <w:lang w:bidi="zh-HK"/>
        </w:rPr>
        <w:t>2023年度财政拨款支出为</w:t>
      </w:r>
      <w:r>
        <w:rPr>
          <w:rFonts w:hint="eastAsia" w:ascii="仿宋_GB2312" w:hAnsi="仿宋_GB2312" w:eastAsia="仿宋_GB2312" w:cs="仿宋_GB2312"/>
          <w:color w:val="auto"/>
          <w:sz w:val="32"/>
          <w:szCs w:val="32"/>
          <w:highlight w:val="none"/>
          <w:lang w:val="en-US" w:eastAsia="zh-CN" w:bidi="zh-HK"/>
        </w:rPr>
        <w:t>650.92</w:t>
      </w:r>
      <w:r>
        <w:rPr>
          <w:rFonts w:hint="eastAsia" w:ascii="仿宋_GB2312" w:hAnsi="仿宋_GB2312" w:eastAsia="仿宋_GB2312" w:cs="仿宋_GB2312"/>
          <w:color w:val="auto"/>
          <w:sz w:val="32"/>
          <w:szCs w:val="32"/>
          <w:highlight w:val="none"/>
          <w:lang w:bidi="zh-HK"/>
        </w:rPr>
        <w:t>万元</w:t>
      </w:r>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支出减少55.97万元,下降7.92%</w:t>
      </w:r>
      <w:r>
        <w:rPr>
          <w:rFonts w:hint="eastAsia" w:ascii="仿宋_GB2312" w:hAnsi="仿宋_GB2312" w:eastAsia="仿宋_GB2312" w:cs="仿宋_GB2312"/>
          <w:color w:val="auto"/>
          <w:sz w:val="32"/>
          <w:szCs w:val="32"/>
          <w:highlight w:val="none"/>
          <w:lang w:bidi="zh-HK"/>
        </w:rPr>
        <w:t>。</w:t>
      </w:r>
      <w:r>
        <w:rPr>
          <w:rFonts w:hint="eastAsia" w:ascii="仿宋_GB2312" w:hAnsi="仿宋_GB2312" w:eastAsia="仿宋_GB2312" w:cs="仿宋_GB2312"/>
          <w:color w:val="auto"/>
          <w:sz w:val="32"/>
          <w:szCs w:val="32"/>
          <w:lang w:bidi="zh-HK"/>
        </w:rPr>
        <w:t>其中：一般公共预算财政拨款支出</w:t>
      </w:r>
      <w:r>
        <w:rPr>
          <w:rFonts w:hint="eastAsia" w:ascii="仿宋_GB2312" w:hAnsi="仿宋_GB2312" w:eastAsia="仿宋_GB2312" w:cs="仿宋_GB2312"/>
          <w:color w:val="auto"/>
          <w:sz w:val="32"/>
          <w:szCs w:val="32"/>
          <w:lang w:val="en-US" w:eastAsia="zh-CN" w:bidi="zh-HK"/>
        </w:rPr>
        <w:t>650.92</w:t>
      </w:r>
      <w:r>
        <w:rPr>
          <w:rFonts w:hint="eastAsia" w:ascii="仿宋_GB2312" w:hAnsi="仿宋_GB2312" w:eastAsia="仿宋_GB2312" w:cs="仿宋_GB2312"/>
          <w:color w:val="auto"/>
          <w:sz w:val="32"/>
          <w:szCs w:val="32"/>
          <w:lang w:bidi="zh-HK"/>
        </w:rPr>
        <w:t>元，国有资本经营预算财政拨款支出</w:t>
      </w:r>
      <w:r>
        <w:rPr>
          <w:rFonts w:hint="eastAsia" w:ascii="仿宋_GB2312" w:hAnsi="仿宋_GB2312" w:eastAsia="仿宋_GB2312" w:cs="仿宋_GB2312"/>
          <w:color w:val="auto"/>
          <w:sz w:val="32"/>
          <w:szCs w:val="32"/>
          <w:lang w:val="en-US" w:eastAsia="zh-CN" w:bidi="zh-HK"/>
        </w:rPr>
        <w:t>0</w:t>
      </w:r>
      <w:r>
        <w:rPr>
          <w:rFonts w:hint="eastAsia" w:ascii="仿宋_GB2312" w:hAnsi="仿宋_GB2312" w:eastAsia="仿宋_GB2312" w:cs="仿宋_GB2312"/>
          <w:color w:val="auto"/>
          <w:sz w:val="32"/>
          <w:szCs w:val="32"/>
          <w:lang w:bidi="zh-HK"/>
        </w:rPr>
        <w:t>万元。</w:t>
      </w:r>
      <w:r>
        <w:rPr>
          <w:rFonts w:hint="eastAsia" w:ascii="仿宋_GB2312" w:hAnsi="仿宋_GB2312" w:eastAsia="仿宋_GB2312" w:cs="仿宋_GB2312"/>
          <w:color w:val="auto"/>
          <w:sz w:val="32"/>
          <w:szCs w:val="32"/>
          <w:lang w:eastAsia="zh-CN" w:bidi="zh-HK"/>
        </w:rPr>
        <w:t>本单位无项目支出。</w:t>
      </w:r>
    </w:p>
    <w:p>
      <w:pPr>
        <w:keepNext w:val="0"/>
        <w:keepLines w:val="0"/>
        <w:pageBreakBefore w:val="0"/>
        <w:widowControl w:val="0"/>
        <w:numPr>
          <w:ilvl w:val="0"/>
          <w:numId w:val="0"/>
        </w:numPr>
        <w:tabs>
          <w:tab w:val="left" w:pos="10490"/>
        </w:tabs>
        <w:kinsoku/>
        <w:wordWrap/>
        <w:overflowPunct/>
        <w:topLinePunct w:val="0"/>
        <w:autoSpaceDE w:val="0"/>
        <w:autoSpaceDN w:val="0"/>
        <w:bidi w:val="0"/>
        <w:adjustRightInd w:val="0"/>
        <w:snapToGrid/>
        <w:spacing w:line="640" w:lineRule="exact"/>
        <w:ind w:firstLine="640" w:firstLineChars="200"/>
        <w:textAlignment w:val="auto"/>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color w:val="auto"/>
          <w:sz w:val="32"/>
          <w:szCs w:val="32"/>
          <w:lang w:eastAsia="zh-CN"/>
        </w:rPr>
        <w:t>主要产出和效果：一是基层协商阵地健全；二是有效开展民主议事活动；三是基层治理达到民主科学。</w:t>
      </w:r>
      <w:r>
        <w:rPr>
          <w:rFonts w:hint="eastAsia" w:ascii="仿宋_GB2312" w:hAnsi="仿宋_GB2312" w:eastAsia="仿宋_GB2312" w:cs="仿宋_GB2312"/>
          <w:color w:val="auto"/>
          <w:sz w:val="32"/>
          <w:szCs w:val="32"/>
          <w:lang w:val="en-US"/>
        </w:rPr>
        <w:t>根据年初设定的绩效目标</w:t>
      </w:r>
      <w:r>
        <w:rPr>
          <w:rFonts w:hint="eastAsia" w:ascii="仿宋_GB2312" w:hAnsi="仿宋_GB2312" w:eastAsia="仿宋_GB2312" w:cs="仿宋_GB2312"/>
          <w:color w:val="auto"/>
          <w:sz w:val="32"/>
          <w:szCs w:val="32"/>
          <w:lang w:val="en-US" w:eastAsia="zh-CN"/>
        </w:rPr>
        <w:t>，县政协主动聚焦主责主业，多措并举，</w:t>
      </w:r>
      <w:r>
        <w:rPr>
          <w:rFonts w:hint="eastAsia" w:ascii="仿宋_GB2312" w:hAnsi="仿宋_GB2312" w:eastAsia="仿宋_GB2312" w:cs="仿宋_GB2312"/>
          <w:color w:val="auto"/>
          <w:sz w:val="32"/>
          <w:szCs w:val="32"/>
          <w:lang w:val="zh-CN"/>
        </w:rPr>
        <w:t>全方位提升了委员履职能力，推动明主建设，规范协商议事工作，全流程抓好意见建议督办，全覆盖搭建委员履职平台，进一步提升了政协整体水平。</w:t>
      </w:r>
    </w:p>
    <w:p>
      <w:pPr>
        <w:pageBreakBefore w:val="0"/>
        <w:kinsoku/>
        <w:wordWrap/>
        <w:overflowPunct/>
        <w:topLinePunct w:val="0"/>
        <w:bidi w:val="0"/>
        <w:snapToGrid/>
        <w:spacing w:before="100" w:beforeLines="0" w:after="100" w:afterLines="0" w:line="560" w:lineRule="exact"/>
        <w:jc w:val="both"/>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三、部门绩效评价结果（</w:t>
      </w:r>
      <w:r>
        <w:rPr>
          <w:rFonts w:hint="eastAsia" w:ascii="仿宋_GB2312" w:hAnsi="仿宋_GB2312" w:eastAsia="仿宋_GB2312" w:cs="仿宋_GB2312"/>
          <w:b/>
          <w:bCs/>
          <w:color w:val="auto"/>
          <w:sz w:val="32"/>
          <w:szCs w:val="32"/>
          <w:lang w:val="en-US" w:eastAsia="zh-CN"/>
        </w:rPr>
        <w:t>见附件</w:t>
      </w:r>
      <w:r>
        <w:rPr>
          <w:rFonts w:hint="eastAsia" w:ascii="仿宋_GB2312" w:hAnsi="仿宋_GB2312" w:eastAsia="仿宋_GB2312" w:cs="仿宋_GB2312"/>
          <w:b/>
          <w:bCs/>
          <w:color w:val="auto"/>
          <w:sz w:val="32"/>
          <w:szCs w:val="32"/>
          <w:lang w:val="zh-CN" w:eastAsia="zh-CN"/>
        </w:rPr>
        <w:t>）</w:t>
      </w:r>
    </w:p>
    <w:p>
      <w:pPr>
        <w:spacing w:before="100" w:beforeLines="0" w:after="100" w:afterLines="0"/>
        <w:jc w:val="center"/>
        <w:rPr>
          <w:rFonts w:hint="eastAsia" w:ascii="仿宋_GB2312" w:hAnsi="仿宋_GB2312" w:eastAsia="仿宋_GB2312" w:cs="仿宋_GB2312"/>
          <w:color w:val="auto"/>
          <w:sz w:val="36"/>
          <w:szCs w:val="36"/>
          <w:lang w:val="zh-CN"/>
        </w:rPr>
      </w:pPr>
      <w:r>
        <w:rPr>
          <w:rFonts w:hint="eastAsia" w:ascii="仿宋_GB2312" w:hAnsi="仿宋_GB2312" w:eastAsia="仿宋_GB2312" w:cs="仿宋_GB2312"/>
          <w:b/>
          <w:color w:val="auto"/>
          <w:sz w:val="36"/>
          <w:szCs w:val="36"/>
          <w:lang w:val="zh-CN"/>
        </w:rPr>
        <w:t>第五部分名词解释</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一、财政拨款收入</w:t>
      </w:r>
      <w:r>
        <w:rPr>
          <w:rFonts w:hint="eastAsia" w:ascii="仿宋_GB2312" w:hAnsi="仿宋_GB2312" w:eastAsia="仿宋_GB2312" w:cs="仿宋_GB2312"/>
          <w:color w:val="auto"/>
          <w:sz w:val="32"/>
          <w:szCs w:val="32"/>
          <w:lang w:val="zh-CN"/>
        </w:rPr>
        <w:t>：指本年度从本级财政部门取得的财政拨款,包括一般公共预算财政拨款和政府性基金预算财政拨款。</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：指事业单位开展专业业务活动及其辅助活动取得的现金流入；事业单位收到的财政专户实际核拨的教育收费等资金在此反映。</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：指事业单位在专业业务活动及其辅助活动之外开展非独立核算经营活动取得的现金流入。</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四、其他收入</w:t>
      </w:r>
      <w:r>
        <w:rPr>
          <w:rFonts w:hint="eastAsia" w:ascii="仿宋_GB2312" w:hAnsi="仿宋_GB2312" w:eastAsia="仿宋_GB2312" w:cs="仿宋_GB2312"/>
          <w:color w:val="auto"/>
          <w:sz w:val="32"/>
          <w:szCs w:val="32"/>
          <w:lang w:val="zh-CN"/>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五、年初结转和结余</w:t>
      </w:r>
      <w:r>
        <w:rPr>
          <w:rFonts w:hint="eastAsia" w:ascii="仿宋_GB2312" w:hAnsi="仿宋_GB2312" w:eastAsia="仿宋_GB2312" w:cs="仿宋_GB2312"/>
          <w:color w:val="auto"/>
          <w:sz w:val="32"/>
          <w:szCs w:val="32"/>
          <w:lang w:val="zh-CN"/>
        </w:rPr>
        <w:t>：指单位上年结转本年使用的基本支出结转、项目支出结转和结余、经营结余。</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六、结余分配</w:t>
      </w:r>
      <w:r>
        <w:rPr>
          <w:rFonts w:hint="eastAsia" w:ascii="仿宋_GB2312" w:hAnsi="仿宋_GB2312" w:eastAsia="仿宋_GB2312" w:cs="仿宋_GB2312"/>
          <w:color w:val="auto"/>
          <w:sz w:val="32"/>
          <w:szCs w:val="32"/>
          <w:lang w:val="zh-CN"/>
        </w:rPr>
        <w:t>：指单位按照国家有关规定,缴纳所得税、提取专用基金、转入事业基金等当年结余的分配情况。</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七、年末结转和结余</w:t>
      </w:r>
      <w:r>
        <w:rPr>
          <w:rFonts w:hint="eastAsia" w:ascii="仿宋_GB2312" w:hAnsi="仿宋_GB2312" w:eastAsia="仿宋_GB2312" w:cs="仿宋_GB2312"/>
          <w:color w:val="auto"/>
          <w:sz w:val="32"/>
          <w:szCs w:val="32"/>
          <w:lang w:val="zh-CN"/>
        </w:rPr>
        <w:t>：指单位结转下年的基本支出结转、项目支出结转和结余、经营结余。</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八、基本支出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九、项目支出</w:t>
      </w:r>
      <w:r>
        <w:rPr>
          <w:rFonts w:hint="eastAsia" w:ascii="仿宋_GB2312" w:hAnsi="仿宋_GB2312" w:eastAsia="仿宋_GB2312" w:cs="仿宋_GB2312"/>
          <w:color w:val="auto"/>
          <w:sz w:val="32"/>
          <w:szCs w:val="32"/>
          <w:lang w:val="zh-CN"/>
        </w:rPr>
        <w:t>：指在基本支出之外为完成特定行政任务和事业发展目标所发生的支出。</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十一、“三公”经费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lang w:val="zh-CN"/>
        </w:rPr>
        <w:t>十二、机关运行经费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742741"/>
    <w:multiLevelType w:val="singleLevel"/>
    <w:tmpl w:val="AF742741"/>
    <w:lvl w:ilvl="0" w:tentative="0">
      <w:start w:val="2"/>
      <w:numFmt w:val="chineseCounting"/>
      <w:suff w:val="nothing"/>
      <w:lvlText w:val="%1、"/>
      <w:lvlJc w:val="left"/>
      <w:rPr>
        <w:rFonts w:hint="eastAsia"/>
      </w:rPr>
    </w:lvl>
  </w:abstractNum>
  <w:abstractNum w:abstractNumId="1">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NDU0MWMzNzRiYjM5ZWM5YjNlMjQ0YTc5NmYyYWIifQ=="/>
  </w:docVars>
  <w:rsids>
    <w:rsidRoot w:val="00000000"/>
    <w:rsid w:val="06AF78C7"/>
    <w:rsid w:val="0DE83D94"/>
    <w:rsid w:val="0E667807"/>
    <w:rsid w:val="130960B8"/>
    <w:rsid w:val="1539066E"/>
    <w:rsid w:val="1FB10B4F"/>
    <w:rsid w:val="20DF0894"/>
    <w:rsid w:val="215835A2"/>
    <w:rsid w:val="25D1638B"/>
    <w:rsid w:val="28BF1352"/>
    <w:rsid w:val="2AC73E1D"/>
    <w:rsid w:val="2C702CD1"/>
    <w:rsid w:val="2DEB1774"/>
    <w:rsid w:val="2FE738DC"/>
    <w:rsid w:val="33743346"/>
    <w:rsid w:val="3C695ECC"/>
    <w:rsid w:val="40DC0835"/>
    <w:rsid w:val="412F1D90"/>
    <w:rsid w:val="42C350F3"/>
    <w:rsid w:val="42F2345B"/>
    <w:rsid w:val="43D0288E"/>
    <w:rsid w:val="45666253"/>
    <w:rsid w:val="4B1D0734"/>
    <w:rsid w:val="57B3344F"/>
    <w:rsid w:val="5D256794"/>
    <w:rsid w:val="60E856E9"/>
    <w:rsid w:val="67B52C22"/>
    <w:rsid w:val="6C6F0796"/>
    <w:rsid w:val="6D3B0F85"/>
    <w:rsid w:val="73777B53"/>
    <w:rsid w:val="786C5C4B"/>
    <w:rsid w:val="7C791007"/>
    <w:rsid w:val="7F216B01"/>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6">
    <w:name w:val="Strong"/>
    <w:basedOn w:val="5"/>
    <w:qFormat/>
    <w:uiPriority w:val="22"/>
    <w:rPr>
      <w:b/>
    </w:rPr>
  </w:style>
  <w:style w:type="paragraph" w:customStyle="1" w:styleId="7">
    <w:name w:val="BodyText"/>
    <w:basedOn w:val="1"/>
    <w:qFormat/>
    <w:uiPriority w:val="0"/>
    <w:pPr>
      <w:widowControl/>
      <w:spacing w:after="120" w:line="856" w:lineRule="atLeast"/>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5b8ae170-9800-47a5-a618-88c1d71f0c81}">
  <ds:schemaRefs/>
</ds:datastoreItem>
</file>

<file path=customXml/itemProps2.xml><?xml version="1.0" encoding="utf-8"?>
<ds:datastoreItem xmlns:ds="http://schemas.openxmlformats.org/officeDocument/2006/customXml" ds:itemID="{d06e093e-8b59-4c92-8759-65b95de6d3e1}">
  <ds:schemaRefs/>
</ds:datastoreItem>
</file>

<file path=customXml/itemProps3.xml><?xml version="1.0" encoding="utf-8"?>
<ds:datastoreItem xmlns:ds="http://schemas.openxmlformats.org/officeDocument/2006/customXml" ds:itemID="{1b072d17-d84e-4d4a-9bc9-b9275b54210b}">
  <ds:schemaRefs/>
</ds:datastoreItem>
</file>

<file path=customXml/itemProps4.xml><?xml version="1.0" encoding="utf-8"?>
<ds:datastoreItem xmlns:ds="http://schemas.openxmlformats.org/officeDocument/2006/customXml" ds:itemID="{c5aee74f-3a22-44d1-b26b-ac070f318620}">
  <ds:schemaRefs/>
</ds:datastoreItem>
</file>

<file path=customXml/itemProps5.xml><?xml version="1.0" encoding="utf-8"?>
<ds:datastoreItem xmlns:ds="http://schemas.openxmlformats.org/officeDocument/2006/customXml" ds:itemID="{4686fba9-e0a5-4de4-9932-eee24aba2bca}">
  <ds:schemaRefs/>
</ds:datastoreItem>
</file>

<file path=customXml/itemProps6.xml><?xml version="1.0" encoding="utf-8"?>
<ds:datastoreItem xmlns:ds="http://schemas.openxmlformats.org/officeDocument/2006/customXml" ds:itemID="{ff551503-a694-4b6f-84ed-91e4bf75e0b6}">
  <ds:schemaRefs/>
</ds:datastoreItem>
</file>

<file path=customXml/itemProps7.xml><?xml version="1.0" encoding="utf-8"?>
<ds:datastoreItem xmlns:ds="http://schemas.openxmlformats.org/officeDocument/2006/customXml" ds:itemID="{109cd92b-4b9a-4336-8a8b-4008ca7e8a63}">
  <ds:schemaRefs/>
</ds:datastoreItem>
</file>

<file path=customXml/itemProps8.xml><?xml version="1.0" encoding="utf-8"?>
<ds:datastoreItem xmlns:ds="http://schemas.openxmlformats.org/officeDocument/2006/customXml" ds:itemID="{03023c43-911c-425e-8a13-e7c075b69b10}">
  <ds:schemaRefs/>
</ds:datastoreItem>
</file>

<file path=customXml/itemProps9.xml><?xml version="1.0" encoding="utf-8"?>
<ds:datastoreItem xmlns:ds="http://schemas.openxmlformats.org/officeDocument/2006/customXml" ds:itemID="{b4a94647-b3d9-41ce-bad1-61a683a6e268}">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佛曰：不可说</cp:lastModifiedBy>
  <dcterms:modified xsi:type="dcterms:W3CDTF">2024-09-18T13:23:29Z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E06D266F13EA4024808CEEADBAD91186_11</vt:lpwstr>
  </property>
</Properties>
</file>