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8F9EB">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45BD53C1">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3FDFC5B0">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123CDEAB">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0CA18953">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2350FE8B">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600381F9">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方正小标宋简体" w:hAnsi="方正小标宋简体" w:eastAsia="方正小标宋简体" w:cs="方正小标宋简体"/>
          <w:sz w:val="48"/>
          <w:szCs w:val="48"/>
          <w:lang w:val="zh-CN"/>
        </w:rPr>
      </w:pPr>
      <w:r>
        <w:rPr>
          <w:rFonts w:hint="eastAsia" w:ascii="方正小标宋简体" w:hAnsi="方正小标宋简体" w:eastAsia="方正小标宋简体" w:cs="方正小标宋简体"/>
          <w:sz w:val="48"/>
          <w:szCs w:val="48"/>
          <w:lang w:val="zh-CN"/>
        </w:rPr>
        <w:t>2023年度</w:t>
      </w:r>
    </w:p>
    <w:p w14:paraId="6AC3D3F3">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方正小标宋简体" w:hAnsi="方正小标宋简体" w:eastAsia="方正小标宋简体" w:cs="方正小标宋简体"/>
          <w:sz w:val="48"/>
          <w:szCs w:val="48"/>
          <w:lang w:val="zh-CN"/>
        </w:rPr>
      </w:pPr>
      <w:r>
        <w:rPr>
          <w:rFonts w:hint="eastAsia" w:ascii="方正小标宋简体" w:hAnsi="方正小标宋简体" w:eastAsia="方正小标宋简体" w:cs="方正小标宋简体"/>
          <w:sz w:val="48"/>
          <w:szCs w:val="48"/>
          <w:lang w:val="zh-CN"/>
        </w:rPr>
        <w:t>华池县人民代表大会常务委员会办公室</w:t>
      </w:r>
    </w:p>
    <w:p w14:paraId="01C0409B">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方正小标宋简体" w:hAnsi="方正小标宋简体" w:eastAsia="方正小标宋简体" w:cs="方正小标宋简体"/>
          <w:sz w:val="48"/>
          <w:szCs w:val="48"/>
          <w:lang w:val="zh-CN"/>
        </w:rPr>
      </w:pPr>
      <w:r>
        <w:rPr>
          <w:rFonts w:hint="eastAsia" w:ascii="方正小标宋简体" w:hAnsi="方正小标宋简体" w:eastAsia="方正小标宋简体" w:cs="方正小标宋简体"/>
          <w:sz w:val="48"/>
          <w:szCs w:val="48"/>
          <w:lang w:val="zh-CN"/>
        </w:rPr>
        <w:t>部门决算</w:t>
      </w:r>
    </w:p>
    <w:p w14:paraId="3E133E0A">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6C0850AF">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3EE3A5A4">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30BD9575">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4698D6CD">
      <w:pPr>
        <w:pStyle w:val="2"/>
        <w:rPr>
          <w:rFonts w:hint="eastAsia" w:ascii="宋体" w:hAnsi="宋体"/>
          <w:sz w:val="24"/>
          <w:szCs w:val="24"/>
          <w:lang w:val="zh-CN"/>
        </w:rPr>
      </w:pPr>
    </w:p>
    <w:p w14:paraId="1F187EFB">
      <w:pPr>
        <w:pStyle w:val="2"/>
        <w:rPr>
          <w:rFonts w:hint="eastAsia" w:ascii="宋体" w:hAnsi="宋体"/>
          <w:sz w:val="24"/>
          <w:szCs w:val="24"/>
          <w:lang w:val="zh-CN"/>
        </w:rPr>
      </w:pPr>
    </w:p>
    <w:p w14:paraId="53B4A9D9">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482B4DF3">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6BA91B16">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661872A7">
      <w:pPr>
        <w:pageBreakBefore w:val="0"/>
        <w:widowControl/>
        <w:kinsoku/>
        <w:wordWrap/>
        <w:overflowPunct/>
        <w:topLinePunct w:val="0"/>
        <w:autoSpaceDE/>
        <w:autoSpaceDN/>
        <w:bidi w:val="0"/>
        <w:adjustRightInd/>
        <w:snapToGrid/>
        <w:spacing w:before="100" w:beforeLines="0" w:after="100" w:afterLines="0" w:line="560" w:lineRule="exact"/>
        <w:ind w:firstLine="480" w:firstLineChars="200"/>
        <w:jc w:val="center"/>
        <w:textAlignment w:val="auto"/>
        <w:rPr>
          <w:rFonts w:hint="eastAsia" w:ascii="宋体" w:hAnsi="宋体"/>
          <w:sz w:val="24"/>
          <w:szCs w:val="24"/>
          <w:lang w:val="zh-CN"/>
        </w:rPr>
      </w:pPr>
    </w:p>
    <w:p w14:paraId="5B2EC7BD">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723" w:firstLineChars="200"/>
        <w:jc w:val="center"/>
        <w:textAlignment w:val="auto"/>
        <w:rPr>
          <w:rFonts w:hint="eastAsia" w:ascii="黑体" w:hAnsi="黑体" w:eastAsia="黑体" w:cs="黑体"/>
          <w:sz w:val="36"/>
          <w:szCs w:val="36"/>
          <w:lang w:val="zh-CN"/>
        </w:rPr>
      </w:pPr>
      <w:r>
        <w:rPr>
          <w:rFonts w:hint="eastAsia" w:ascii="黑体" w:hAnsi="黑体" w:eastAsia="黑体" w:cs="黑体"/>
          <w:b/>
          <w:sz w:val="36"/>
          <w:szCs w:val="36"/>
          <w:lang w:val="zh-CN"/>
        </w:rPr>
        <w:t>目</w:t>
      </w:r>
      <w:r>
        <w:rPr>
          <w:rFonts w:hint="eastAsia" w:ascii="黑体" w:hAnsi="黑体" w:eastAsia="黑体" w:cs="黑体"/>
          <w:b/>
          <w:sz w:val="36"/>
          <w:szCs w:val="36"/>
          <w:lang w:val="en-US" w:eastAsia="zh-CN"/>
        </w:rPr>
        <w:t xml:space="preserve"> </w:t>
      </w:r>
      <w:r>
        <w:rPr>
          <w:rFonts w:hint="eastAsia" w:ascii="黑体" w:hAnsi="黑体" w:eastAsia="黑体" w:cs="黑体"/>
          <w:b/>
          <w:sz w:val="36"/>
          <w:szCs w:val="36"/>
          <w:lang w:val="zh-CN"/>
        </w:rPr>
        <w:t>录</w:t>
      </w:r>
    </w:p>
    <w:p w14:paraId="1E8DCE42">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第一部分</w:t>
      </w:r>
      <w:r>
        <w:rPr>
          <w:rFonts w:hint="eastAsia" w:ascii="宋体" w:hAnsi="宋体"/>
          <w:b/>
          <w:sz w:val="24"/>
          <w:szCs w:val="24"/>
          <w:lang w:val="en-US" w:eastAsia="zh-CN"/>
        </w:rPr>
        <w:t xml:space="preserve"> </w:t>
      </w:r>
      <w:r>
        <w:rPr>
          <w:rFonts w:hint="eastAsia" w:ascii="宋体" w:hAnsi="宋体"/>
          <w:b/>
          <w:sz w:val="24"/>
          <w:szCs w:val="24"/>
          <w:lang w:val="zh-CN"/>
        </w:rPr>
        <w:t>部门概况</w:t>
      </w:r>
    </w:p>
    <w:p w14:paraId="7A62D862">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一、部门职责</w:t>
      </w:r>
    </w:p>
    <w:p w14:paraId="2D097074">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二、机构设置</w:t>
      </w:r>
    </w:p>
    <w:p w14:paraId="4E4940CD">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第二部分</w:t>
      </w:r>
      <w:r>
        <w:rPr>
          <w:rFonts w:hint="eastAsia" w:ascii="宋体" w:hAnsi="宋体"/>
          <w:b/>
          <w:sz w:val="24"/>
          <w:szCs w:val="24"/>
          <w:lang w:val="en-US" w:eastAsia="zh-CN"/>
        </w:rPr>
        <w:t xml:space="preserve"> </w:t>
      </w:r>
      <w:r>
        <w:rPr>
          <w:rFonts w:hint="eastAsia" w:ascii="宋体" w:hAnsi="宋体"/>
          <w:b/>
          <w:sz w:val="24"/>
          <w:szCs w:val="24"/>
          <w:lang w:val="zh-CN"/>
        </w:rPr>
        <w:t>2023年度部门决算表</w:t>
      </w:r>
    </w:p>
    <w:p w14:paraId="188EBF14">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一、收入支出决算总表</w:t>
      </w:r>
    </w:p>
    <w:p w14:paraId="166DA4C6">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二、收入决算表</w:t>
      </w:r>
    </w:p>
    <w:p w14:paraId="70F1CD6A">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三、支出决算表</w:t>
      </w:r>
    </w:p>
    <w:p w14:paraId="6FEED3D2">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四、财政拨款收入支出决算总表</w:t>
      </w:r>
    </w:p>
    <w:p w14:paraId="219FAE6B">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五、一般公共预算财政拨款支出决算表</w:t>
      </w:r>
    </w:p>
    <w:p w14:paraId="1062686D">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162986F4">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5003DC00">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206CC78E">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7F404F62">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第三部分</w:t>
      </w:r>
      <w:r>
        <w:rPr>
          <w:rFonts w:hint="eastAsia" w:ascii="宋体" w:hAnsi="宋体"/>
          <w:b/>
          <w:sz w:val="24"/>
          <w:szCs w:val="24"/>
          <w:lang w:val="en-US" w:eastAsia="zh-CN"/>
        </w:rPr>
        <w:t xml:space="preserve"> </w:t>
      </w:r>
      <w:r>
        <w:rPr>
          <w:rFonts w:hint="eastAsia" w:ascii="宋体" w:hAnsi="宋体"/>
          <w:b/>
          <w:sz w:val="24"/>
          <w:szCs w:val="24"/>
          <w:lang w:val="zh-CN"/>
        </w:rPr>
        <w:t>2023年度部门决算情况说明</w:t>
      </w:r>
    </w:p>
    <w:p w14:paraId="042A03E6">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一、收入支出决算总体情况说明</w:t>
      </w:r>
    </w:p>
    <w:p w14:paraId="6BAE9C09">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二、收入决算情况说明</w:t>
      </w:r>
    </w:p>
    <w:p w14:paraId="3DB393D4">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三、支出决算情况说明</w:t>
      </w:r>
    </w:p>
    <w:p w14:paraId="6CCC2248">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四、财政拨款收入支出决算总体情况说明</w:t>
      </w:r>
    </w:p>
    <w:p w14:paraId="074115AA">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25DD0ABA">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7E7E3BFE">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75A7EB4B">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4A1ABF9D">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1E903AC7">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278D3E9A">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十一、政府采购支出情况说明</w:t>
      </w:r>
    </w:p>
    <w:p w14:paraId="60708FAE">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十二、国有资产占用情况说明</w:t>
      </w:r>
    </w:p>
    <w:p w14:paraId="198C5C77">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十三、其他需要说明的情况</w:t>
      </w:r>
    </w:p>
    <w:p w14:paraId="09783DE0">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第四部分</w:t>
      </w:r>
      <w:r>
        <w:rPr>
          <w:rFonts w:hint="eastAsia" w:ascii="宋体" w:hAnsi="宋体"/>
          <w:b/>
          <w:sz w:val="24"/>
          <w:szCs w:val="24"/>
          <w:lang w:val="en-US" w:eastAsia="zh-CN"/>
        </w:rPr>
        <w:t xml:space="preserve"> </w:t>
      </w:r>
      <w:r>
        <w:rPr>
          <w:rFonts w:hint="eastAsia" w:ascii="宋体" w:hAnsi="宋体"/>
          <w:b/>
          <w:sz w:val="24"/>
          <w:szCs w:val="24"/>
          <w:lang w:val="zh-CN"/>
        </w:rPr>
        <w:t>预算绩效情况说明</w:t>
      </w:r>
    </w:p>
    <w:p w14:paraId="14129DAA">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第五部分</w:t>
      </w:r>
      <w:r>
        <w:rPr>
          <w:rFonts w:hint="eastAsia" w:ascii="宋体" w:hAnsi="宋体"/>
          <w:b/>
          <w:sz w:val="24"/>
          <w:szCs w:val="24"/>
          <w:lang w:val="en-US" w:eastAsia="zh-CN"/>
        </w:rPr>
        <w:t xml:space="preserve"> </w:t>
      </w:r>
      <w:r>
        <w:rPr>
          <w:rFonts w:hint="eastAsia" w:ascii="宋体" w:hAnsi="宋体"/>
          <w:b/>
          <w:sz w:val="24"/>
          <w:szCs w:val="24"/>
          <w:lang w:val="zh-CN"/>
        </w:rPr>
        <w:t>名词解释</w:t>
      </w:r>
    </w:p>
    <w:p w14:paraId="322BAA1B">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黑体" w:hAnsi="黑体" w:eastAsia="黑体" w:cs="黑体"/>
          <w:b w:val="0"/>
          <w:bCs/>
          <w:sz w:val="32"/>
          <w:szCs w:val="32"/>
          <w:lang w:val="zh-CN"/>
        </w:rPr>
      </w:pPr>
      <w:r>
        <w:rPr>
          <w:rFonts w:hint="eastAsia" w:ascii="黑体" w:hAnsi="黑体" w:eastAsia="黑体" w:cs="黑体"/>
          <w:b w:val="0"/>
          <w:bCs/>
          <w:sz w:val="32"/>
          <w:szCs w:val="32"/>
          <w:lang w:val="zh-CN"/>
        </w:rPr>
        <w:t>第一部分</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val="zh-CN"/>
        </w:rPr>
        <w:t>部门概况</w:t>
      </w:r>
    </w:p>
    <w:p w14:paraId="04747516">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rPr>
      </w:pPr>
      <w:r>
        <w:rPr>
          <w:rFonts w:hint="eastAsia" w:ascii="黑体" w:hAnsi="黑体" w:eastAsia="黑体" w:cs="黑体"/>
          <w:sz w:val="30"/>
          <w:szCs w:val="30"/>
          <w:lang w:val="zh-CN"/>
        </w:rPr>
        <w:t>一、部门职责</w:t>
      </w:r>
    </w:p>
    <w:p w14:paraId="722F959B">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华池县人大常委会办公室是县人大常委会内设办事机构。主要职责是:一是负责县人民代表大会会议、常委会会议和主任会议的具体会务工作。负责会议筹备，草拟有关会议文件及草案，综合整理审议意见，印发会议文件，做好会场服务和后勤保障等工作。二是负责起草常委会以及常委会办公室上报下发的各类文件；常委会年度工作要点、有关工作报告、决议、决定草案和常委会领导的重要讲话。三是根据常委会的决定和主任会议的安排，为常委会开展视察、调查、检查等重大活动以及常委会组成人员、人大代表、各工作委员会依法开展活动，提供服务。四是根据常委会年度工作要点和主任会议的安排，积极开展调查研究，为常委会提供情况，当好参谋。五是负责接待人民代表和群众的来信来访；及时向常委会领导反映人民群众对“一府一委两院”和国家工作人员的申诉、控告；负责调查和处理上级人大转交和县人大常委会受理的人民群众的信访案件。六是负责做好来文处理及各类文件的立卷、归档、保管等文书机要工作。七是负责与常委会各位领导、其他组成人员、各工委的经常性联系，做好协调服务工作。八是负责做好与省、市人大、县委办、政府办、政协办、法院、检察院和常委会各工作委员会及各乡（镇）人大的工作联系。九是负责安排常委会机关的政治、业务、法律、法规的学习和岗位责任制的考评、考核工作。十是负责做好与上级人大新闻机构及县委宣传部门、新闻单位的经常性联系，开展人大理论研讨，做好人大宣传工作，定期撰写审查县人民代表大会、常委会以及其他会议宣传报道稿件，编发《简讯》和《华池县人大常委会会刊》。十一是负责常委会机关的行政事务、财务、车辆管理、后勤服务、来宾接待、安全保卫以及离退休干部职工的服务等工作。十二是办理常委会、主任会议以及常委会领导交办的其它工作。</w:t>
      </w:r>
    </w:p>
    <w:p w14:paraId="21722E68">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rPr>
      </w:pPr>
      <w:r>
        <w:rPr>
          <w:rFonts w:hint="eastAsia" w:ascii="黑体" w:hAnsi="黑体" w:eastAsia="黑体" w:cs="黑体"/>
          <w:sz w:val="30"/>
          <w:szCs w:val="30"/>
          <w:lang w:val="zh-CN"/>
        </w:rPr>
        <w:t>二、机构设置</w:t>
      </w:r>
    </w:p>
    <w:p w14:paraId="0390D348">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2023年，独立编制机构1个，独立核算机构1个。华池县人大常委会下设“一室四工委”（即办公室、法制司法监察工作委员会、预算农业城建环保工作委员会、教育科学文化卫生工作委员会、代表工作委员会)。华池县人大常委会办公室内设机构1个（网络信息中心）。我单位共核定编制29人，其中行政编制数12人，事业编制9人，工勤编制8人。2023年年末实有人数33人，与2022年度相比，增加2人。在职人员人数主要变动原因：本年度调入5人，调出1人，在职死亡1人，退休1人（已移交县社保中心）。</w:t>
      </w:r>
    </w:p>
    <w:p w14:paraId="47DB48AA">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黑体" w:hAnsi="黑体" w:eastAsia="黑体" w:cs="黑体"/>
          <w:b w:val="0"/>
          <w:bCs/>
          <w:sz w:val="32"/>
          <w:szCs w:val="32"/>
          <w:lang w:val="zh-CN"/>
        </w:rPr>
      </w:pPr>
    </w:p>
    <w:p w14:paraId="4B085F2C">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黑体" w:hAnsi="黑体" w:eastAsia="黑体" w:cs="黑体"/>
          <w:b w:val="0"/>
          <w:bCs/>
          <w:sz w:val="32"/>
          <w:szCs w:val="32"/>
          <w:lang w:val="zh-CN"/>
        </w:rPr>
      </w:pPr>
      <w:r>
        <w:rPr>
          <w:rFonts w:hint="eastAsia" w:ascii="黑体" w:hAnsi="黑体" w:eastAsia="黑体" w:cs="黑体"/>
          <w:b w:val="0"/>
          <w:bCs/>
          <w:sz w:val="32"/>
          <w:szCs w:val="32"/>
          <w:lang w:val="zh-CN"/>
        </w:rPr>
        <w:t>第二部分</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val="zh-CN"/>
        </w:rPr>
        <w:t>2023年度部门决算表</w:t>
      </w:r>
    </w:p>
    <w:p w14:paraId="6ED85881">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一、收入支出决算总表(见附件)</w:t>
      </w:r>
    </w:p>
    <w:p w14:paraId="0B0C5BF5">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二、收入决算表(见附件)</w:t>
      </w:r>
    </w:p>
    <w:p w14:paraId="25448973">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三、支出决算表(见附件)</w:t>
      </w:r>
    </w:p>
    <w:p w14:paraId="5FC7CFB1">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四、财政拨款收入支出决算总表(见附件)</w:t>
      </w:r>
    </w:p>
    <w:p w14:paraId="74041DED">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五、一般公共预算财政拨款支出决算表(见附件)</w:t>
      </w:r>
    </w:p>
    <w:p w14:paraId="1577246D">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六、一般公共预算财政拨款基本支出决算明细表(见附件)</w:t>
      </w:r>
    </w:p>
    <w:p w14:paraId="7B3C6909">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七、政府性基金预算财政拨款收入支出决算表（见附件，本部门没有相关数据,故本表无数据）</w:t>
      </w:r>
    </w:p>
    <w:p w14:paraId="5C86DF84">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八、国有资本经营预算财政拨款支出决算表（见附件，本部门没有相关数据,故本表无数据）</w:t>
      </w:r>
    </w:p>
    <w:p w14:paraId="219AEAA6">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九、财政拨款</w:t>
      </w:r>
      <w:r>
        <w:rPr>
          <w:rFonts w:hint="default"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zh-CN"/>
        </w:rPr>
        <w:t>三公</w:t>
      </w:r>
      <w:r>
        <w:rPr>
          <w:rFonts w:hint="default"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zh-CN"/>
        </w:rPr>
        <w:t>经费支出决算表(见附件)</w:t>
      </w:r>
    </w:p>
    <w:p w14:paraId="50DCD2DA">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黑体" w:hAnsi="黑体" w:eastAsia="黑体" w:cs="黑体"/>
          <w:b w:val="0"/>
          <w:bCs/>
          <w:sz w:val="32"/>
          <w:szCs w:val="32"/>
          <w:lang w:val="zh-CN"/>
        </w:rPr>
      </w:pPr>
    </w:p>
    <w:p w14:paraId="35D9745C">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黑体" w:hAnsi="黑体" w:eastAsia="黑体" w:cs="黑体"/>
          <w:b w:val="0"/>
          <w:bCs/>
          <w:sz w:val="32"/>
          <w:szCs w:val="32"/>
          <w:lang w:val="zh-CN"/>
        </w:rPr>
      </w:pPr>
      <w:r>
        <w:rPr>
          <w:rFonts w:hint="eastAsia" w:ascii="黑体" w:hAnsi="黑体" w:eastAsia="黑体" w:cs="黑体"/>
          <w:b w:val="0"/>
          <w:bCs/>
          <w:sz w:val="32"/>
          <w:szCs w:val="32"/>
          <w:lang w:val="zh-CN"/>
        </w:rPr>
        <w:t>第三部分2023年度部门决算情况说明</w:t>
      </w:r>
    </w:p>
    <w:p w14:paraId="79610F5C">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一、收入支出决算总体情况说明</w:t>
      </w:r>
    </w:p>
    <w:p w14:paraId="0BF8D7D2">
      <w:pPr>
        <w:keepNext w:val="0"/>
        <w:keepLines w:val="0"/>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宋体" w:hAnsi="宋体"/>
          <w:color w:val="FF0000"/>
          <w:sz w:val="30"/>
          <w:szCs w:val="30"/>
          <w:lang w:val="zh-CN"/>
        </w:rPr>
      </w:pPr>
      <w:r>
        <w:rPr>
          <w:rFonts w:hint="eastAsia" w:ascii="仿宋_GB2312" w:hAnsi="仿宋_GB2312" w:eastAsia="仿宋_GB2312" w:cs="仿宋_GB2312"/>
          <w:color w:val="auto"/>
          <w:sz w:val="30"/>
          <w:szCs w:val="30"/>
          <w:lang w:val="zh-CN"/>
        </w:rPr>
        <w:t>2023年度收、支总计</w:t>
      </w:r>
      <w:r>
        <w:rPr>
          <w:rFonts w:hint="eastAsia" w:ascii="仿宋_GB2312" w:hAnsi="仿宋_GB2312" w:eastAsia="仿宋_GB2312" w:cs="仿宋_GB2312"/>
          <w:color w:val="auto"/>
          <w:sz w:val="30"/>
          <w:szCs w:val="30"/>
          <w:lang w:val="en-US"/>
        </w:rPr>
        <w:t>均为</w:t>
      </w:r>
      <w:r>
        <w:rPr>
          <w:rFonts w:hint="eastAsia" w:ascii="仿宋_GB2312" w:hAnsi="仿宋_GB2312" w:eastAsia="仿宋_GB2312" w:cs="仿宋_GB2312"/>
          <w:color w:val="auto"/>
          <w:sz w:val="30"/>
          <w:szCs w:val="30"/>
          <w:lang w:val="zh-CN"/>
        </w:rPr>
        <w:t>632.95万元。</w:t>
      </w:r>
      <w:r>
        <w:rPr>
          <w:rFonts w:hint="eastAsia" w:ascii="仿宋_GB2312" w:hAnsi="仿宋_GB2312" w:eastAsia="仿宋_GB2312" w:cs="仿宋_GB2312"/>
          <w:color w:val="auto"/>
          <w:sz w:val="30"/>
          <w:szCs w:val="30"/>
          <w:lang w:val="en-US"/>
        </w:rPr>
        <w:t>与上年度相比,</w:t>
      </w:r>
      <w:r>
        <w:rPr>
          <w:rFonts w:hint="eastAsia" w:ascii="仿宋_GB2312" w:hAnsi="仿宋_GB2312" w:eastAsia="仿宋_GB2312" w:cs="仿宋_GB2312"/>
          <w:color w:val="auto"/>
          <w:sz w:val="30"/>
          <w:szCs w:val="30"/>
          <w:lang w:val="zh-CN"/>
        </w:rPr>
        <w:t>收、支</w:t>
      </w:r>
      <w:r>
        <w:rPr>
          <w:rFonts w:hint="eastAsia" w:ascii="仿宋_GB2312" w:hAnsi="仿宋_GB2312" w:eastAsia="仿宋_GB2312" w:cs="仿宋_GB2312"/>
          <w:color w:val="auto"/>
          <w:sz w:val="30"/>
          <w:szCs w:val="30"/>
          <w:lang w:val="en-US"/>
        </w:rPr>
        <w:t>总计各</w:t>
      </w:r>
      <w:r>
        <w:rPr>
          <w:rFonts w:hint="eastAsia" w:ascii="仿宋_GB2312" w:hAnsi="仿宋_GB2312" w:eastAsia="仿宋_GB2312" w:cs="仿宋_GB2312"/>
          <w:color w:val="auto"/>
          <w:sz w:val="30"/>
          <w:szCs w:val="30"/>
          <w:lang w:val="zh-CN"/>
        </w:rPr>
        <w:t>减少114.94万元,下降15.37%,主要原因是</w:t>
      </w:r>
      <w:r>
        <w:rPr>
          <w:rFonts w:hint="eastAsia" w:ascii="仿宋_GB2312" w:hAnsi="仿宋_GB2312" w:eastAsia="仿宋_GB2312" w:cs="仿宋_GB2312"/>
          <w:color w:val="auto"/>
          <w:sz w:val="30"/>
          <w:szCs w:val="30"/>
          <w:lang w:val="en-US" w:eastAsia="zh-CN"/>
        </w:rPr>
        <w:t>上年度收入总计中含有年初结转结余资金、支出总计中含有年末</w:t>
      </w:r>
      <w:r>
        <w:rPr>
          <w:rFonts w:hint="eastAsia" w:ascii="仿宋_GB2312" w:hAnsi="仿宋_GB2312" w:eastAsia="仿宋_GB2312" w:cs="仿宋_GB2312"/>
          <w:color w:val="auto"/>
          <w:sz w:val="30"/>
          <w:szCs w:val="30"/>
          <w:lang w:val="zh-CN" w:eastAsia="zh-CN"/>
        </w:rPr>
        <w:t>结转和结余</w:t>
      </w:r>
      <w:r>
        <w:rPr>
          <w:rFonts w:hint="eastAsia" w:ascii="仿宋_GB2312" w:hAnsi="仿宋_GB2312" w:eastAsia="仿宋_GB2312" w:cs="仿宋_GB2312"/>
          <w:color w:val="auto"/>
          <w:sz w:val="30"/>
          <w:szCs w:val="30"/>
          <w:lang w:val="en-US" w:eastAsia="zh-CN"/>
        </w:rPr>
        <w:t>资金。</w:t>
      </w:r>
    </w:p>
    <w:p w14:paraId="57B46507">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二、收入决算情况说明</w:t>
      </w:r>
    </w:p>
    <w:p w14:paraId="6C8204B6">
      <w:pPr>
        <w:keepNext w:val="0"/>
        <w:keepLines w:val="0"/>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2023年度收入合计632.95万元,其中：财政拨款收入632.95万元,占100.00%。</w:t>
      </w:r>
    </w:p>
    <w:p w14:paraId="3DD9F953">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三、支出决算情况说明</w:t>
      </w:r>
    </w:p>
    <w:p w14:paraId="02D7C075">
      <w:pPr>
        <w:keepNext w:val="0"/>
        <w:keepLines w:val="0"/>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2023年度支出合计632.95万元,其中：基本支出632.95万元,占100.00%。</w:t>
      </w:r>
    </w:p>
    <w:p w14:paraId="0796F2FE">
      <w:pPr>
        <w:keepNext w:val="0"/>
        <w:keepLines w:val="0"/>
        <w:pageBreakBefore w:val="0"/>
        <w:widowControl w:val="0"/>
        <w:kinsoku/>
        <w:wordWrap/>
        <w:overflowPunct/>
        <w:topLinePunct w:val="0"/>
        <w:autoSpaceDE/>
        <w:autoSpaceDN/>
        <w:bidi w:val="0"/>
        <w:adjustRightInd/>
        <w:snapToGrid/>
        <w:spacing w:beforeLines="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四、财政拨款收入支出决算总体情况说明</w:t>
      </w:r>
    </w:p>
    <w:p w14:paraId="716400C4">
      <w:pPr>
        <w:keepNext w:val="0"/>
        <w:keepLines w:val="0"/>
        <w:pageBreakBefore w:val="0"/>
        <w:widowControl w:val="0"/>
        <w:kinsoku/>
        <w:wordWrap/>
        <w:overflowPunct/>
        <w:topLinePunct w:val="0"/>
        <w:autoSpaceDE/>
        <w:autoSpaceDN/>
        <w:bidi w:val="0"/>
        <w:adjustRightInd/>
        <w:snapToGrid/>
        <w:spacing w:beforeLines="0" w:afterLines="0" w:line="560" w:lineRule="exact"/>
        <w:ind w:firstLine="600" w:firstLineChars="200"/>
        <w:jc w:val="left"/>
        <w:textAlignment w:val="auto"/>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2023年度财政拨款收、支总计</w:t>
      </w:r>
      <w:r>
        <w:rPr>
          <w:rFonts w:hint="eastAsia" w:ascii="仿宋_GB2312" w:hAnsi="仿宋_GB2312" w:eastAsia="仿宋_GB2312" w:cs="仿宋_GB2312"/>
          <w:color w:val="auto"/>
          <w:sz w:val="30"/>
          <w:szCs w:val="30"/>
          <w:lang w:val="en-US"/>
        </w:rPr>
        <w:t>均为</w:t>
      </w:r>
      <w:r>
        <w:rPr>
          <w:rFonts w:hint="eastAsia" w:ascii="仿宋_GB2312" w:hAnsi="仿宋_GB2312" w:eastAsia="仿宋_GB2312" w:cs="仿宋_GB2312"/>
          <w:color w:val="auto"/>
          <w:sz w:val="30"/>
          <w:szCs w:val="30"/>
          <w:lang w:val="zh-CN"/>
        </w:rPr>
        <w:t>632.95万元。与</w:t>
      </w:r>
      <w:r>
        <w:rPr>
          <w:rFonts w:hint="eastAsia" w:ascii="仿宋_GB2312" w:hAnsi="仿宋_GB2312" w:eastAsia="仿宋_GB2312" w:cs="仿宋_GB2312"/>
          <w:color w:val="auto"/>
          <w:sz w:val="30"/>
          <w:szCs w:val="30"/>
          <w:lang w:val="en-US"/>
        </w:rPr>
        <w:t>上</w:t>
      </w:r>
      <w:r>
        <w:rPr>
          <w:rFonts w:hint="eastAsia" w:ascii="仿宋_GB2312" w:hAnsi="仿宋_GB2312" w:eastAsia="仿宋_GB2312" w:cs="仿宋_GB2312"/>
          <w:color w:val="auto"/>
          <w:sz w:val="30"/>
          <w:szCs w:val="30"/>
          <w:lang w:val="zh-CN"/>
        </w:rPr>
        <w:t>年相比,各减少114.94万元,下降15.37%。主要原因是</w:t>
      </w:r>
      <w:r>
        <w:rPr>
          <w:rFonts w:hint="eastAsia" w:ascii="仿宋_GB2312" w:hAnsi="仿宋_GB2312" w:eastAsia="仿宋_GB2312" w:cs="仿宋_GB2312"/>
          <w:color w:val="auto"/>
          <w:sz w:val="30"/>
          <w:szCs w:val="30"/>
          <w:lang w:val="en-US" w:eastAsia="zh-CN"/>
        </w:rPr>
        <w:t>上年度收入总计中含有年初结转结余资金、支出总计中含有年末</w:t>
      </w:r>
      <w:r>
        <w:rPr>
          <w:rFonts w:hint="eastAsia" w:ascii="仿宋_GB2312" w:hAnsi="仿宋_GB2312" w:eastAsia="仿宋_GB2312" w:cs="仿宋_GB2312"/>
          <w:color w:val="auto"/>
          <w:sz w:val="30"/>
          <w:szCs w:val="30"/>
          <w:lang w:val="zh-CN" w:eastAsia="zh-CN"/>
        </w:rPr>
        <w:t>结转和结余</w:t>
      </w:r>
      <w:r>
        <w:rPr>
          <w:rFonts w:hint="eastAsia" w:ascii="仿宋_GB2312" w:hAnsi="仿宋_GB2312" w:eastAsia="仿宋_GB2312" w:cs="仿宋_GB2312"/>
          <w:color w:val="auto"/>
          <w:sz w:val="30"/>
          <w:szCs w:val="30"/>
          <w:lang w:val="en-US" w:eastAsia="zh-CN"/>
        </w:rPr>
        <w:t>资金。</w:t>
      </w:r>
    </w:p>
    <w:p w14:paraId="4B6717FF">
      <w:pPr>
        <w:keepNext w:val="0"/>
        <w:keepLines w:val="0"/>
        <w:pageBreakBefore w:val="0"/>
        <w:widowControl w:val="0"/>
        <w:kinsoku/>
        <w:wordWrap/>
        <w:overflowPunct/>
        <w:topLinePunct w:val="0"/>
        <w:autoSpaceDE/>
        <w:autoSpaceDN/>
        <w:bidi w:val="0"/>
        <w:adjustRightInd/>
        <w:snapToGrid/>
        <w:spacing w:beforeLines="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五、一般公共预算财政拨款支出决算情况说明</w:t>
      </w:r>
    </w:p>
    <w:p w14:paraId="6A3874EF">
      <w:pPr>
        <w:keepNext w:val="0"/>
        <w:keepLines w:val="0"/>
        <w:pageBreakBefore w:val="0"/>
        <w:widowControl w:val="0"/>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楷体_GB2312" w:hAnsi="楷体_GB2312" w:eastAsia="楷体_GB2312" w:cs="楷体_GB2312"/>
          <w:b/>
          <w:bCs/>
          <w:color w:val="auto"/>
          <w:sz w:val="30"/>
          <w:szCs w:val="30"/>
          <w:lang w:val="zh-CN"/>
        </w:rPr>
      </w:pPr>
      <w:r>
        <w:rPr>
          <w:rFonts w:hint="eastAsia" w:ascii="楷体_GB2312" w:hAnsi="楷体_GB2312" w:eastAsia="楷体_GB2312" w:cs="楷体_GB2312"/>
          <w:b/>
          <w:bCs/>
          <w:color w:val="auto"/>
          <w:sz w:val="30"/>
          <w:szCs w:val="30"/>
          <w:lang w:val="zh-CN"/>
        </w:rPr>
        <w:t>（一）一般公共预算财政拨款支出决算总体情况</w:t>
      </w:r>
    </w:p>
    <w:p w14:paraId="6C15A8D7">
      <w:pPr>
        <w:keepNext w:val="0"/>
        <w:keepLines w:val="0"/>
        <w:pageBreakBefore w:val="0"/>
        <w:widowControl w:val="0"/>
        <w:kinsoku/>
        <w:wordWrap/>
        <w:overflowPunct/>
        <w:topLinePunct w:val="0"/>
        <w:autoSpaceDE/>
        <w:autoSpaceDN/>
        <w:bidi w:val="0"/>
        <w:adjustRightInd/>
        <w:snapToGrid/>
        <w:spacing w:beforeLines="0" w:afterLines="0" w:line="560" w:lineRule="exact"/>
        <w:ind w:firstLine="600"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zh-CN" w:eastAsia="zh-CN"/>
        </w:rPr>
        <w:t>2023年度一般公共预算财政拨款支出632.95万元,较上年决算数增加12.68万元,增长2.04%。主要原因是本年度人员变化大，增加2人。</w:t>
      </w:r>
    </w:p>
    <w:p w14:paraId="000D4632">
      <w:pPr>
        <w:keepNext w:val="0"/>
        <w:keepLines w:val="0"/>
        <w:pageBreakBefore w:val="0"/>
        <w:widowControl w:val="0"/>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楷体_GB2312" w:hAnsi="楷体_GB2312" w:eastAsia="楷体_GB2312" w:cs="楷体_GB2312"/>
          <w:b/>
          <w:bCs/>
          <w:color w:val="auto"/>
          <w:sz w:val="30"/>
          <w:szCs w:val="30"/>
          <w:lang w:val="zh-CN"/>
        </w:rPr>
      </w:pPr>
      <w:r>
        <w:rPr>
          <w:rFonts w:hint="eastAsia" w:ascii="楷体_GB2312" w:hAnsi="楷体_GB2312" w:eastAsia="楷体_GB2312" w:cs="楷体_GB2312"/>
          <w:b/>
          <w:bCs/>
          <w:color w:val="auto"/>
          <w:sz w:val="30"/>
          <w:szCs w:val="30"/>
          <w:lang w:val="zh-CN"/>
        </w:rPr>
        <w:t>（</w:t>
      </w:r>
      <w:r>
        <w:rPr>
          <w:rFonts w:hint="eastAsia" w:ascii="楷体_GB2312" w:hAnsi="楷体_GB2312" w:eastAsia="楷体_GB2312" w:cs="楷体_GB2312"/>
          <w:b/>
          <w:bCs/>
          <w:color w:val="auto"/>
          <w:sz w:val="30"/>
          <w:szCs w:val="30"/>
          <w:lang w:val="en-US" w:eastAsia="zh-CN"/>
        </w:rPr>
        <w:t>二</w:t>
      </w:r>
      <w:r>
        <w:rPr>
          <w:rFonts w:hint="eastAsia" w:ascii="楷体_GB2312" w:hAnsi="楷体_GB2312" w:eastAsia="楷体_GB2312" w:cs="楷体_GB2312"/>
          <w:b/>
          <w:bCs/>
          <w:color w:val="auto"/>
          <w:sz w:val="30"/>
          <w:szCs w:val="30"/>
          <w:lang w:val="zh-CN"/>
        </w:rPr>
        <w:t>）一般公共预算财政拨款支出决算结构情况</w:t>
      </w:r>
    </w:p>
    <w:p w14:paraId="13A41D43">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00" w:firstLineChars="200"/>
        <w:jc w:val="left"/>
        <w:textAlignment w:val="auto"/>
        <w:rPr>
          <w:rFonts w:hint="eastAsia" w:ascii="宋体" w:hAnsi="宋体"/>
          <w:color w:val="FF0000"/>
          <w:sz w:val="24"/>
          <w:szCs w:val="24"/>
          <w:lang w:val="zh-CN"/>
        </w:rPr>
      </w:pPr>
      <w:r>
        <w:rPr>
          <w:rFonts w:hint="eastAsia" w:ascii="仿宋_GB2312" w:hAnsi="仿宋_GB2312" w:eastAsia="仿宋_GB2312" w:cs="仿宋_GB2312"/>
          <w:color w:val="auto"/>
          <w:sz w:val="30"/>
          <w:szCs w:val="30"/>
          <w:lang w:val="en-US" w:eastAsia="zh-CN"/>
        </w:rPr>
        <w:t>2023年度一般公共预算财政拨款支出</w:t>
      </w:r>
      <w:r>
        <w:rPr>
          <w:rFonts w:hint="eastAsia" w:ascii="仿宋_GB2312" w:hAnsi="仿宋_GB2312" w:eastAsia="仿宋_GB2312" w:cs="仿宋_GB2312"/>
          <w:color w:val="auto"/>
          <w:sz w:val="30"/>
          <w:szCs w:val="30"/>
          <w:lang w:val="zh-CN" w:eastAsia="zh-CN"/>
        </w:rPr>
        <w:t>632.95万元，主要用于以下方面：一般公共服务支出555.98万元,占87.84%；社会保障和就业支出43.23万元,占6.8</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lang w:val="zh-CN" w:eastAsia="zh-CN"/>
        </w:rPr>
        <w:t>%；卫生健康支出29.28万元,占4.6</w:t>
      </w:r>
      <w:r>
        <w:rPr>
          <w:rFonts w:hint="eastAsia" w:ascii="仿宋_GB2312" w:hAnsi="仿宋_GB2312" w:eastAsia="仿宋_GB2312" w:cs="仿宋_GB2312"/>
          <w:color w:val="auto"/>
          <w:sz w:val="30"/>
          <w:szCs w:val="30"/>
          <w:lang w:val="en-US" w:eastAsia="zh-CN"/>
        </w:rPr>
        <w:t>2</w:t>
      </w:r>
      <w:r>
        <w:rPr>
          <w:rFonts w:hint="eastAsia" w:ascii="仿宋_GB2312" w:hAnsi="仿宋_GB2312" w:eastAsia="仿宋_GB2312" w:cs="仿宋_GB2312"/>
          <w:color w:val="auto"/>
          <w:sz w:val="30"/>
          <w:szCs w:val="30"/>
          <w:lang w:val="zh-CN" w:eastAsia="zh-CN"/>
        </w:rPr>
        <w:t>%；农林水支出4.47万元,占0.71%。</w:t>
      </w:r>
    </w:p>
    <w:p w14:paraId="266F4740">
      <w:pPr>
        <w:keepNext w:val="0"/>
        <w:keepLines w:val="0"/>
        <w:pageBreakBefore w:val="0"/>
        <w:widowControl w:val="0"/>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楷体_GB2312" w:hAnsi="楷体_GB2312" w:eastAsia="楷体_GB2312" w:cs="楷体_GB2312"/>
          <w:b/>
          <w:bCs/>
          <w:color w:val="auto"/>
          <w:sz w:val="30"/>
          <w:szCs w:val="30"/>
          <w:lang w:val="zh-CN"/>
        </w:rPr>
      </w:pPr>
      <w:r>
        <w:rPr>
          <w:rFonts w:hint="eastAsia" w:ascii="楷体_GB2312" w:hAnsi="楷体_GB2312" w:eastAsia="楷体_GB2312" w:cs="楷体_GB2312"/>
          <w:b/>
          <w:bCs/>
          <w:color w:val="auto"/>
          <w:sz w:val="30"/>
          <w:szCs w:val="30"/>
          <w:lang w:val="zh-CN"/>
        </w:rPr>
        <w:t>（</w:t>
      </w:r>
      <w:r>
        <w:rPr>
          <w:rFonts w:hint="eastAsia" w:ascii="楷体_GB2312" w:hAnsi="楷体_GB2312" w:eastAsia="楷体_GB2312" w:cs="楷体_GB2312"/>
          <w:b/>
          <w:bCs/>
          <w:color w:val="auto"/>
          <w:sz w:val="30"/>
          <w:szCs w:val="30"/>
          <w:lang w:val="en-US" w:eastAsia="zh-CN"/>
        </w:rPr>
        <w:t>三</w:t>
      </w:r>
      <w:r>
        <w:rPr>
          <w:rFonts w:hint="eastAsia" w:ascii="楷体_GB2312" w:hAnsi="楷体_GB2312" w:eastAsia="楷体_GB2312" w:cs="楷体_GB2312"/>
          <w:b/>
          <w:bCs/>
          <w:color w:val="auto"/>
          <w:sz w:val="30"/>
          <w:szCs w:val="30"/>
          <w:lang w:val="zh-CN"/>
        </w:rPr>
        <w:t>）一般公共预算财政拨款支出决算具体情况</w:t>
      </w:r>
    </w:p>
    <w:p w14:paraId="1D3C0F8E">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00"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en-US" w:eastAsia="zh-CN"/>
        </w:rPr>
        <w:t>2023年度一般公共预算财政拨款支出年初预算为</w:t>
      </w:r>
      <w:r>
        <w:rPr>
          <w:rFonts w:hint="eastAsia" w:ascii="仿宋_GB2312" w:hAnsi="仿宋_GB2312" w:eastAsia="仿宋_GB2312" w:cs="仿宋_GB2312"/>
          <w:color w:val="auto"/>
          <w:sz w:val="30"/>
          <w:szCs w:val="30"/>
          <w:lang w:val="zh-CN" w:eastAsia="zh-CN"/>
        </w:rPr>
        <w:t>673.24万元,支出决算为632.95万元,完成年初预算的94.02%。其中：</w:t>
      </w:r>
    </w:p>
    <w:p w14:paraId="2C01C005">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仿宋_GB2312" w:hAnsi="仿宋_GB2312" w:eastAsia="仿宋_GB2312" w:cs="仿宋_GB2312"/>
          <w:color w:val="auto"/>
          <w:sz w:val="30"/>
          <w:szCs w:val="30"/>
          <w:lang w:val="zh-CN" w:eastAsia="zh-CN"/>
        </w:rPr>
      </w:pPr>
      <w:r>
        <w:rPr>
          <w:rFonts w:hint="default" w:ascii="仿宋_GB2312" w:hAnsi="仿宋_GB2312" w:eastAsia="仿宋_GB2312" w:cs="仿宋_GB2312"/>
          <w:b/>
          <w:bCs/>
          <w:color w:val="auto"/>
          <w:sz w:val="30"/>
          <w:szCs w:val="30"/>
          <w:lang w:val="zh-CN" w:eastAsia="zh-CN"/>
        </w:rPr>
        <w:t>1</w:t>
      </w:r>
      <w:r>
        <w:rPr>
          <w:rFonts w:hint="eastAsia" w:ascii="仿宋_GB2312" w:hAnsi="仿宋_GB2312" w:eastAsia="仿宋_GB2312" w:cs="仿宋_GB2312"/>
          <w:b/>
          <w:bCs/>
          <w:color w:val="auto"/>
          <w:sz w:val="30"/>
          <w:szCs w:val="30"/>
          <w:lang w:val="zh-CN" w:eastAsia="zh-CN"/>
        </w:rPr>
        <w:t>．一般公共服务支出</w:t>
      </w:r>
      <w:r>
        <w:rPr>
          <w:rFonts w:hint="eastAsia" w:ascii="仿宋_GB2312" w:hAnsi="仿宋_GB2312" w:eastAsia="仿宋_GB2312" w:cs="仿宋_GB2312"/>
          <w:color w:val="auto"/>
          <w:sz w:val="30"/>
          <w:szCs w:val="30"/>
          <w:lang w:val="zh-CN" w:eastAsia="zh-CN"/>
        </w:rPr>
        <w:t>年初预算数为589.72万元,支出决算为555.98万元,完成年初预算的94.28%,决算数小于预算数的主要原因是</w:t>
      </w:r>
      <w:r>
        <w:rPr>
          <w:rFonts w:hint="eastAsia" w:ascii="仿宋_GB2312" w:hAnsi="仿宋_GB2312" w:eastAsia="仿宋_GB2312" w:cs="仿宋_GB2312"/>
          <w:color w:val="auto"/>
          <w:sz w:val="30"/>
          <w:szCs w:val="30"/>
          <w:lang w:val="en-US" w:eastAsia="zh-CN"/>
        </w:rPr>
        <w:t>本年度人员发生变化，增加2人</w:t>
      </w:r>
      <w:r>
        <w:rPr>
          <w:rFonts w:hint="eastAsia" w:ascii="仿宋_GB2312" w:hAnsi="仿宋_GB2312" w:eastAsia="仿宋_GB2312" w:cs="仿宋_GB2312"/>
          <w:color w:val="auto"/>
          <w:sz w:val="30"/>
          <w:szCs w:val="30"/>
          <w:lang w:val="zh-CN" w:eastAsia="zh-CN"/>
        </w:rPr>
        <w:t>。</w:t>
      </w:r>
    </w:p>
    <w:p w14:paraId="6845CA9D">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仿宋_GB2312" w:hAnsi="仿宋_GB2312" w:eastAsia="仿宋_GB2312" w:cs="仿宋_GB2312"/>
          <w:color w:val="auto"/>
          <w:sz w:val="30"/>
          <w:szCs w:val="30"/>
          <w:lang w:val="zh-CN" w:eastAsia="zh-CN"/>
        </w:rPr>
      </w:pPr>
      <w:r>
        <w:rPr>
          <w:rFonts w:hint="default" w:ascii="仿宋_GB2312" w:hAnsi="仿宋_GB2312" w:eastAsia="仿宋_GB2312" w:cs="仿宋_GB2312"/>
          <w:b/>
          <w:bCs/>
          <w:color w:val="auto"/>
          <w:sz w:val="30"/>
          <w:szCs w:val="30"/>
          <w:lang w:val="zh-CN" w:eastAsia="zh-CN"/>
        </w:rPr>
        <w:t>2</w:t>
      </w:r>
      <w:r>
        <w:rPr>
          <w:rFonts w:hint="eastAsia" w:ascii="仿宋_GB2312" w:hAnsi="仿宋_GB2312" w:eastAsia="仿宋_GB2312" w:cs="仿宋_GB2312"/>
          <w:b/>
          <w:bCs/>
          <w:color w:val="auto"/>
          <w:sz w:val="30"/>
          <w:szCs w:val="30"/>
          <w:lang w:val="zh-CN" w:eastAsia="zh-CN"/>
        </w:rPr>
        <w:t>．社会保障和就业支出</w:t>
      </w:r>
      <w:r>
        <w:rPr>
          <w:rFonts w:hint="eastAsia" w:ascii="仿宋_GB2312" w:hAnsi="仿宋_GB2312" w:eastAsia="仿宋_GB2312" w:cs="仿宋_GB2312"/>
          <w:color w:val="auto"/>
          <w:sz w:val="30"/>
          <w:szCs w:val="30"/>
          <w:lang w:val="zh-CN" w:eastAsia="zh-CN"/>
        </w:rPr>
        <w:t>年初预算数为59.66万元,支出决算为43.23万元,完成年初预算的72.46%,决算数小于预算数的主要原因是</w:t>
      </w:r>
      <w:r>
        <w:rPr>
          <w:rFonts w:hint="eastAsia" w:ascii="仿宋_GB2312" w:hAnsi="仿宋_GB2312" w:eastAsia="仿宋_GB2312" w:cs="仿宋_GB2312"/>
          <w:color w:val="auto"/>
          <w:sz w:val="30"/>
          <w:szCs w:val="30"/>
          <w:lang w:val="en-US" w:eastAsia="zh-CN"/>
        </w:rPr>
        <w:t>本年度在职人员发生变化，养老保险、工伤保险相应减少</w:t>
      </w:r>
      <w:r>
        <w:rPr>
          <w:rFonts w:hint="eastAsia" w:ascii="仿宋_GB2312" w:hAnsi="仿宋_GB2312" w:eastAsia="仿宋_GB2312" w:cs="仿宋_GB2312"/>
          <w:color w:val="auto"/>
          <w:sz w:val="30"/>
          <w:szCs w:val="30"/>
          <w:lang w:val="zh-CN" w:eastAsia="zh-CN"/>
        </w:rPr>
        <w:t>。</w:t>
      </w:r>
    </w:p>
    <w:p w14:paraId="1079B9F0">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b/>
          <w:bCs/>
          <w:color w:val="auto"/>
          <w:sz w:val="30"/>
          <w:szCs w:val="30"/>
          <w:lang w:val="en-US" w:eastAsia="zh-CN"/>
        </w:rPr>
        <w:t>3</w:t>
      </w:r>
      <w:r>
        <w:rPr>
          <w:rFonts w:hint="eastAsia" w:ascii="仿宋_GB2312" w:hAnsi="仿宋_GB2312" w:eastAsia="仿宋_GB2312" w:cs="仿宋_GB2312"/>
          <w:b/>
          <w:bCs/>
          <w:color w:val="auto"/>
          <w:sz w:val="30"/>
          <w:szCs w:val="30"/>
          <w:lang w:val="zh-CN" w:eastAsia="zh-CN"/>
        </w:rPr>
        <w:t>．卫生健康支出</w:t>
      </w:r>
      <w:r>
        <w:rPr>
          <w:rFonts w:hint="eastAsia" w:ascii="仿宋_GB2312" w:hAnsi="仿宋_GB2312" w:eastAsia="仿宋_GB2312" w:cs="仿宋_GB2312"/>
          <w:color w:val="auto"/>
          <w:sz w:val="30"/>
          <w:szCs w:val="30"/>
          <w:lang w:val="zh-CN" w:eastAsia="zh-CN"/>
        </w:rPr>
        <w:t>年初预算数为23.85万元,支出决算为29.28万元,完成年初预算的122.73%,决算数大于预算数的主要原因是本年度</w:t>
      </w:r>
      <w:r>
        <w:rPr>
          <w:rFonts w:hint="eastAsia" w:ascii="仿宋_GB2312" w:hAnsi="仿宋_GB2312" w:eastAsia="仿宋_GB2312" w:cs="仿宋_GB2312"/>
          <w:color w:val="auto"/>
          <w:sz w:val="30"/>
          <w:szCs w:val="30"/>
          <w:lang w:val="en-US" w:eastAsia="zh-CN"/>
        </w:rPr>
        <w:t>在职</w:t>
      </w:r>
      <w:r>
        <w:rPr>
          <w:rFonts w:hint="eastAsia" w:ascii="仿宋_GB2312" w:hAnsi="仿宋_GB2312" w:eastAsia="仿宋_GB2312" w:cs="仿宋_GB2312"/>
          <w:color w:val="auto"/>
          <w:sz w:val="30"/>
          <w:szCs w:val="30"/>
          <w:lang w:val="zh-CN" w:eastAsia="zh-CN"/>
        </w:rPr>
        <w:t>人员</w:t>
      </w:r>
      <w:r>
        <w:rPr>
          <w:rFonts w:hint="eastAsia" w:ascii="仿宋_GB2312" w:hAnsi="仿宋_GB2312" w:eastAsia="仿宋_GB2312" w:cs="仿宋_GB2312"/>
          <w:color w:val="auto"/>
          <w:sz w:val="30"/>
          <w:szCs w:val="30"/>
          <w:lang w:val="en-US" w:eastAsia="zh-CN"/>
        </w:rPr>
        <w:t>发生变化，</w:t>
      </w:r>
      <w:r>
        <w:rPr>
          <w:rFonts w:hint="eastAsia" w:ascii="仿宋_GB2312" w:hAnsi="仿宋_GB2312" w:eastAsia="仿宋_GB2312" w:cs="仿宋_GB2312"/>
          <w:color w:val="auto"/>
          <w:sz w:val="30"/>
          <w:szCs w:val="30"/>
          <w:lang w:val="zh-CN" w:eastAsia="zh-CN"/>
        </w:rPr>
        <w:t>增加2人，</w:t>
      </w:r>
      <w:r>
        <w:rPr>
          <w:rFonts w:hint="eastAsia" w:ascii="仿宋_GB2312" w:hAnsi="仿宋_GB2312" w:eastAsia="仿宋_GB2312" w:cs="仿宋_GB2312"/>
          <w:color w:val="auto"/>
          <w:sz w:val="30"/>
          <w:szCs w:val="30"/>
          <w:lang w:val="en-US" w:eastAsia="zh-CN"/>
        </w:rPr>
        <w:t>医疗保险相应增加</w:t>
      </w:r>
      <w:r>
        <w:rPr>
          <w:rFonts w:hint="eastAsia" w:ascii="仿宋_GB2312" w:hAnsi="仿宋_GB2312" w:eastAsia="仿宋_GB2312" w:cs="仿宋_GB2312"/>
          <w:color w:val="auto"/>
          <w:sz w:val="30"/>
          <w:szCs w:val="30"/>
          <w:lang w:val="zh-CN" w:eastAsia="zh-CN"/>
        </w:rPr>
        <w:t>。</w:t>
      </w:r>
    </w:p>
    <w:p w14:paraId="77FEC17C">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02" w:firstLineChars="200"/>
        <w:jc w:val="left"/>
        <w:textAlignment w:val="auto"/>
        <w:rPr>
          <w:rFonts w:hint="default" w:ascii="仿宋_GB2312" w:hAnsi="仿宋_GB2312" w:eastAsia="仿宋_GB2312" w:cs="仿宋_GB2312"/>
          <w:color w:val="auto"/>
          <w:sz w:val="30"/>
          <w:szCs w:val="30"/>
          <w:lang w:val="en-US" w:eastAsia="zh-CN"/>
        </w:rPr>
      </w:pPr>
      <w:r>
        <w:rPr>
          <w:rFonts w:hint="eastAsia" w:ascii="仿宋_GB2312" w:hAnsi="仿宋_GB2312" w:eastAsia="仿宋_GB2312" w:cs="仿宋_GB2312"/>
          <w:b/>
          <w:bCs/>
          <w:color w:val="auto"/>
          <w:sz w:val="30"/>
          <w:szCs w:val="30"/>
          <w:lang w:val="en-US" w:eastAsia="zh-CN"/>
        </w:rPr>
        <w:t>4</w:t>
      </w:r>
      <w:r>
        <w:rPr>
          <w:rFonts w:hint="eastAsia" w:ascii="仿宋_GB2312" w:hAnsi="仿宋_GB2312" w:eastAsia="仿宋_GB2312" w:cs="仿宋_GB2312"/>
          <w:b/>
          <w:bCs/>
          <w:color w:val="auto"/>
          <w:sz w:val="30"/>
          <w:szCs w:val="30"/>
          <w:lang w:val="zh-CN" w:eastAsia="zh-CN"/>
        </w:rPr>
        <w:t>．农林水支出</w:t>
      </w:r>
      <w:r>
        <w:rPr>
          <w:rFonts w:hint="eastAsia" w:ascii="仿宋_GB2312" w:hAnsi="仿宋_GB2312" w:eastAsia="仿宋_GB2312" w:cs="仿宋_GB2312"/>
          <w:color w:val="auto"/>
          <w:sz w:val="30"/>
          <w:szCs w:val="30"/>
          <w:lang w:val="zh-CN" w:eastAsia="zh-CN"/>
        </w:rPr>
        <w:t>年初预算数为0.00万元,支出决算为4.47万元，</w:t>
      </w:r>
      <w:r>
        <w:rPr>
          <w:rFonts w:hint="eastAsia" w:ascii="仿宋_GB2312" w:hAnsi="仿宋_GB2312" w:eastAsia="仿宋_GB2312" w:cs="仿宋_GB2312"/>
          <w:color w:val="auto"/>
          <w:sz w:val="30"/>
          <w:szCs w:val="30"/>
          <w:lang w:val="en-US" w:eastAsia="zh-CN"/>
        </w:rPr>
        <w:t>较</w:t>
      </w:r>
      <w:r>
        <w:rPr>
          <w:rFonts w:hint="eastAsia" w:ascii="仿宋_GB2312" w:hAnsi="仿宋_GB2312" w:eastAsia="仿宋_GB2312" w:cs="仿宋_GB2312"/>
          <w:color w:val="auto"/>
          <w:sz w:val="30"/>
          <w:szCs w:val="30"/>
          <w:lang w:val="zh-CN" w:eastAsia="zh-CN"/>
        </w:rPr>
        <w:t>年初预算</w:t>
      </w:r>
      <w:r>
        <w:rPr>
          <w:rFonts w:hint="eastAsia" w:ascii="仿宋_GB2312" w:hAnsi="仿宋_GB2312" w:eastAsia="仿宋_GB2312" w:cs="仿宋_GB2312"/>
          <w:color w:val="auto"/>
          <w:sz w:val="30"/>
          <w:szCs w:val="30"/>
          <w:lang w:val="en-US" w:eastAsia="zh-CN"/>
        </w:rPr>
        <w:t>增加</w:t>
      </w:r>
      <w:r>
        <w:rPr>
          <w:rFonts w:hint="eastAsia" w:ascii="仿宋_GB2312" w:hAnsi="仿宋_GB2312" w:eastAsia="仿宋_GB2312" w:cs="仿宋_GB2312"/>
          <w:color w:val="auto"/>
          <w:sz w:val="30"/>
          <w:szCs w:val="30"/>
          <w:lang w:val="zh-CN" w:eastAsia="zh-CN"/>
        </w:rPr>
        <w:t>,决算数大于预算数的主要原因是</w:t>
      </w:r>
      <w:r>
        <w:rPr>
          <w:rFonts w:hint="eastAsia" w:ascii="仿宋_GB2312" w:hAnsi="仿宋_GB2312" w:eastAsia="仿宋_GB2312" w:cs="仿宋_GB2312"/>
          <w:color w:val="auto"/>
          <w:sz w:val="30"/>
          <w:szCs w:val="30"/>
          <w:lang w:val="en-US" w:eastAsia="zh-CN"/>
        </w:rPr>
        <w:t>驻村工作队员生活补助支出。</w:t>
      </w:r>
    </w:p>
    <w:p w14:paraId="71D4173E">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六、一般公共预算财政拨款基本支出决算情况说明</w:t>
      </w:r>
    </w:p>
    <w:p w14:paraId="67F94D1C">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00"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zh-CN" w:eastAsia="zh-CN"/>
        </w:rPr>
        <w:t>2023年度一般公共预算财政拨款基本支出632.95万元。其中：</w:t>
      </w:r>
    </w:p>
    <w:p w14:paraId="39221938">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b/>
          <w:bCs/>
          <w:color w:val="auto"/>
          <w:sz w:val="30"/>
          <w:szCs w:val="30"/>
          <w:lang w:val="zh-CN" w:eastAsia="zh-CN"/>
        </w:rPr>
        <w:t>人员经费</w:t>
      </w:r>
      <w:r>
        <w:rPr>
          <w:rFonts w:hint="eastAsia" w:ascii="仿宋_GB2312" w:hAnsi="仿宋_GB2312" w:eastAsia="仿宋_GB2312" w:cs="仿宋_GB2312"/>
          <w:color w:val="auto"/>
          <w:sz w:val="30"/>
          <w:szCs w:val="30"/>
          <w:lang w:val="zh-CN" w:eastAsia="zh-CN"/>
        </w:rPr>
        <w:t>506.85万元,较上年决算数增加79.64万元,增长18.64%,主要原因是本年度人员变化大，增加2人。人员经费用途主要包括基本工资、津贴补贴、奖金、社会保障缴费、其他工资福利支出、生活补助和其他对个人和家庭的补助。</w:t>
      </w:r>
    </w:p>
    <w:p w14:paraId="35C3555E">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b/>
          <w:bCs/>
          <w:color w:val="auto"/>
          <w:sz w:val="30"/>
          <w:szCs w:val="30"/>
          <w:lang w:val="zh-CN" w:eastAsia="zh-CN"/>
        </w:rPr>
        <w:t>公用经费</w:t>
      </w:r>
      <w:r>
        <w:rPr>
          <w:rFonts w:hint="eastAsia" w:ascii="仿宋_GB2312" w:hAnsi="仿宋_GB2312" w:eastAsia="仿宋_GB2312" w:cs="仿宋_GB2312"/>
          <w:color w:val="auto"/>
          <w:sz w:val="30"/>
          <w:szCs w:val="30"/>
          <w:lang w:val="zh-CN" w:eastAsia="zh-CN"/>
        </w:rPr>
        <w:t>126.10万元,较上年决算数减少66.96万元,下降34.68%,主要原因是</w:t>
      </w:r>
      <w:r>
        <w:rPr>
          <w:rFonts w:hint="eastAsia" w:ascii="仿宋_GB2312" w:hAnsi="仿宋_GB2312" w:eastAsia="仿宋_GB2312" w:cs="仿宋_GB2312"/>
          <w:color w:val="auto"/>
          <w:sz w:val="30"/>
          <w:szCs w:val="30"/>
          <w:lang w:val="en-US" w:eastAsia="zh-CN"/>
        </w:rPr>
        <w:t>严格控制经费支出，落实过紧日子要求，部分会议费支出未实现</w:t>
      </w:r>
      <w:r>
        <w:rPr>
          <w:rFonts w:hint="eastAsia" w:ascii="仿宋_GB2312" w:hAnsi="仿宋_GB2312" w:eastAsia="仿宋_GB2312" w:cs="仿宋_GB2312"/>
          <w:color w:val="auto"/>
          <w:sz w:val="30"/>
          <w:szCs w:val="30"/>
          <w:lang w:val="zh-CN" w:eastAsia="zh-CN"/>
        </w:rPr>
        <w:t>。公用经费用途主要包括办公费、印刷费、水费、电费、邮电费、物业管理费、差旅费、维修（护）费、会议费、培训费、公务接待费、劳务费、工会经费、福利费、公务用车运行维护费、其他交通费用、其他商品和服务支出。</w:t>
      </w:r>
    </w:p>
    <w:p w14:paraId="003DADB3">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七、政府性基金预算财政拨款收支决算情况说明</w:t>
      </w:r>
    </w:p>
    <w:p w14:paraId="1B8CC764">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00"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zh-CN" w:eastAsia="zh-CN"/>
        </w:rPr>
        <w:t>本部门2023年度无政府性基金收入,也没有使用政府性基金安排的支出。</w:t>
      </w:r>
    </w:p>
    <w:p w14:paraId="64083219">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八、国有资本经营预算财政拨款支出情况说明</w:t>
      </w:r>
    </w:p>
    <w:p w14:paraId="067A12DB">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00"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zh-CN" w:eastAsia="zh-CN"/>
        </w:rPr>
        <w:t>本部门2023年度没有使用国有资本经营预算安排的支出。</w:t>
      </w:r>
    </w:p>
    <w:p w14:paraId="6B89FE92">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en-US" w:eastAsia="zh-CN"/>
        </w:rPr>
        <w:t>九</w:t>
      </w:r>
      <w:r>
        <w:rPr>
          <w:rFonts w:hint="eastAsia" w:ascii="黑体" w:hAnsi="黑体" w:eastAsia="黑体" w:cs="黑体"/>
          <w:sz w:val="30"/>
          <w:szCs w:val="30"/>
          <w:lang w:val="zh-CN" w:eastAsia="zh-CN"/>
        </w:rPr>
        <w:t>、财政拨款</w:t>
      </w:r>
      <w:r>
        <w:rPr>
          <w:rFonts w:hint="default" w:ascii="黑体" w:hAnsi="黑体" w:eastAsia="黑体" w:cs="黑体"/>
          <w:sz w:val="30"/>
          <w:szCs w:val="30"/>
          <w:lang w:val="zh-CN" w:eastAsia="zh-CN"/>
        </w:rPr>
        <w:t>“</w:t>
      </w:r>
      <w:r>
        <w:rPr>
          <w:rFonts w:hint="eastAsia" w:ascii="黑体" w:hAnsi="黑体" w:eastAsia="黑体" w:cs="黑体"/>
          <w:sz w:val="30"/>
          <w:szCs w:val="30"/>
          <w:lang w:val="zh-CN" w:eastAsia="zh-CN"/>
        </w:rPr>
        <w:t>三公</w:t>
      </w:r>
      <w:r>
        <w:rPr>
          <w:rFonts w:hint="default" w:ascii="黑体" w:hAnsi="黑体" w:eastAsia="黑体" w:cs="黑体"/>
          <w:sz w:val="30"/>
          <w:szCs w:val="30"/>
          <w:lang w:val="zh-CN" w:eastAsia="zh-CN"/>
        </w:rPr>
        <w:t>”</w:t>
      </w:r>
      <w:r>
        <w:rPr>
          <w:rFonts w:hint="eastAsia" w:ascii="黑体" w:hAnsi="黑体" w:eastAsia="黑体" w:cs="黑体"/>
          <w:sz w:val="30"/>
          <w:szCs w:val="30"/>
          <w:lang w:val="zh-CN" w:eastAsia="zh-CN"/>
        </w:rPr>
        <w:t>经费支出决算情况说明</w:t>
      </w:r>
    </w:p>
    <w:p w14:paraId="0B2B8428">
      <w:pPr>
        <w:keepNext w:val="0"/>
        <w:keepLines w:val="0"/>
        <w:pageBreakBefore w:val="0"/>
        <w:widowControl w:val="0"/>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楷体_GB2312" w:hAnsi="楷体_GB2312" w:eastAsia="楷体_GB2312" w:cs="楷体_GB2312"/>
          <w:b/>
          <w:bCs/>
          <w:color w:val="auto"/>
          <w:sz w:val="30"/>
          <w:szCs w:val="30"/>
          <w:lang w:val="zh-CN"/>
        </w:rPr>
      </w:pPr>
      <w:r>
        <w:rPr>
          <w:rFonts w:hint="eastAsia" w:ascii="楷体_GB2312" w:hAnsi="楷体_GB2312" w:eastAsia="楷体_GB2312" w:cs="楷体_GB2312"/>
          <w:b/>
          <w:bCs/>
          <w:color w:val="auto"/>
          <w:sz w:val="30"/>
          <w:szCs w:val="30"/>
          <w:lang w:val="zh-CN"/>
        </w:rPr>
        <w:t>（</w:t>
      </w:r>
      <w:r>
        <w:rPr>
          <w:rFonts w:hint="eastAsia" w:ascii="楷体_GB2312" w:hAnsi="楷体_GB2312" w:eastAsia="楷体_GB2312" w:cs="楷体_GB2312"/>
          <w:b/>
          <w:bCs/>
          <w:color w:val="auto"/>
          <w:sz w:val="30"/>
          <w:szCs w:val="30"/>
          <w:lang w:val="en-US" w:eastAsia="zh-CN"/>
        </w:rPr>
        <w:t>一</w:t>
      </w:r>
      <w:r>
        <w:rPr>
          <w:rFonts w:hint="eastAsia" w:ascii="楷体_GB2312" w:hAnsi="楷体_GB2312" w:eastAsia="楷体_GB2312" w:cs="楷体_GB2312"/>
          <w:b/>
          <w:bCs/>
          <w:color w:val="auto"/>
          <w:sz w:val="30"/>
          <w:szCs w:val="30"/>
          <w:lang w:val="zh-CN"/>
        </w:rPr>
        <w:t>）</w:t>
      </w:r>
      <w:r>
        <w:rPr>
          <w:rFonts w:hint="default" w:ascii="楷体_GB2312" w:hAnsi="楷体_GB2312" w:eastAsia="楷体_GB2312" w:cs="楷体_GB2312"/>
          <w:b/>
          <w:bCs/>
          <w:color w:val="auto"/>
          <w:sz w:val="30"/>
          <w:szCs w:val="30"/>
          <w:lang w:val="zh-CN"/>
        </w:rPr>
        <w:t>“</w:t>
      </w:r>
      <w:r>
        <w:rPr>
          <w:rFonts w:hint="eastAsia" w:ascii="楷体_GB2312" w:hAnsi="楷体_GB2312" w:eastAsia="楷体_GB2312" w:cs="楷体_GB2312"/>
          <w:b/>
          <w:bCs/>
          <w:color w:val="auto"/>
          <w:sz w:val="30"/>
          <w:szCs w:val="30"/>
          <w:lang w:val="zh-CN"/>
        </w:rPr>
        <w:t>三公</w:t>
      </w:r>
      <w:r>
        <w:rPr>
          <w:rFonts w:hint="default" w:ascii="楷体_GB2312" w:hAnsi="楷体_GB2312" w:eastAsia="楷体_GB2312" w:cs="楷体_GB2312"/>
          <w:b/>
          <w:bCs/>
          <w:color w:val="auto"/>
          <w:sz w:val="30"/>
          <w:szCs w:val="30"/>
          <w:lang w:val="zh-CN"/>
        </w:rPr>
        <w:t>”</w:t>
      </w:r>
      <w:r>
        <w:rPr>
          <w:rFonts w:hint="eastAsia" w:ascii="楷体_GB2312" w:hAnsi="楷体_GB2312" w:eastAsia="楷体_GB2312" w:cs="楷体_GB2312"/>
          <w:b/>
          <w:bCs/>
          <w:color w:val="auto"/>
          <w:sz w:val="30"/>
          <w:szCs w:val="30"/>
          <w:lang w:val="zh-CN"/>
        </w:rPr>
        <w:t>经费财政拨款支出总体情况说明</w:t>
      </w:r>
    </w:p>
    <w:p w14:paraId="6683E41B">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宋体" w:hAnsi="宋体"/>
          <w:color w:val="auto"/>
          <w:sz w:val="24"/>
          <w:szCs w:val="24"/>
          <w:lang w:val="zh-CN"/>
        </w:rPr>
      </w:pPr>
      <w:r>
        <w:rPr>
          <w:rFonts w:hint="eastAsia" w:ascii="仿宋_GB2312" w:hAnsi="仿宋_GB2312" w:eastAsia="仿宋_GB2312" w:cs="仿宋_GB2312"/>
          <w:color w:val="auto"/>
          <w:sz w:val="30"/>
          <w:szCs w:val="30"/>
          <w:lang w:val="zh-CN" w:eastAsia="zh-CN"/>
        </w:rPr>
        <w:t>2023年度</w:t>
      </w:r>
      <w:r>
        <w:rPr>
          <w:rFonts w:hint="default" w:ascii="仿宋_GB2312" w:hAnsi="仿宋_GB2312" w:eastAsia="仿宋_GB2312" w:cs="仿宋_GB2312"/>
          <w:color w:val="auto"/>
          <w:sz w:val="30"/>
          <w:szCs w:val="30"/>
          <w:lang w:val="zh-CN" w:eastAsia="zh-CN"/>
        </w:rPr>
        <w:t>“</w:t>
      </w:r>
      <w:r>
        <w:rPr>
          <w:rFonts w:hint="eastAsia" w:ascii="仿宋_GB2312" w:hAnsi="仿宋_GB2312" w:eastAsia="仿宋_GB2312" w:cs="仿宋_GB2312"/>
          <w:color w:val="auto"/>
          <w:sz w:val="30"/>
          <w:szCs w:val="30"/>
          <w:lang w:val="zh-CN" w:eastAsia="zh-CN"/>
        </w:rPr>
        <w:t>三公</w:t>
      </w:r>
      <w:r>
        <w:rPr>
          <w:rFonts w:hint="default" w:ascii="仿宋_GB2312" w:hAnsi="仿宋_GB2312" w:eastAsia="仿宋_GB2312" w:cs="仿宋_GB2312"/>
          <w:color w:val="auto"/>
          <w:sz w:val="30"/>
          <w:szCs w:val="30"/>
          <w:lang w:val="zh-CN" w:eastAsia="zh-CN"/>
        </w:rPr>
        <w:t>”</w:t>
      </w:r>
      <w:r>
        <w:rPr>
          <w:rFonts w:hint="eastAsia" w:ascii="仿宋_GB2312" w:hAnsi="仿宋_GB2312" w:eastAsia="仿宋_GB2312" w:cs="仿宋_GB2312"/>
          <w:color w:val="auto"/>
          <w:sz w:val="30"/>
          <w:szCs w:val="30"/>
          <w:lang w:val="zh-CN" w:eastAsia="zh-CN"/>
        </w:rPr>
        <w:t>经费支出</w:t>
      </w:r>
      <w:r>
        <w:rPr>
          <w:rFonts w:hint="eastAsia" w:ascii="仿宋_GB2312" w:hAnsi="仿宋_GB2312" w:eastAsia="仿宋_GB2312" w:cs="仿宋_GB2312"/>
          <w:color w:val="auto"/>
          <w:sz w:val="30"/>
          <w:szCs w:val="30"/>
          <w:lang w:val="en-US" w:eastAsia="zh-CN"/>
        </w:rPr>
        <w:t>全年</w:t>
      </w:r>
      <w:r>
        <w:rPr>
          <w:rFonts w:hint="eastAsia" w:ascii="仿宋_GB2312" w:hAnsi="仿宋_GB2312" w:eastAsia="仿宋_GB2312" w:cs="仿宋_GB2312"/>
          <w:color w:val="auto"/>
          <w:sz w:val="30"/>
          <w:szCs w:val="30"/>
          <w:lang w:val="zh-CN" w:eastAsia="zh-CN"/>
        </w:rPr>
        <w:t>预算数为4.58万元,支出决算为4.58万元,决算数</w:t>
      </w:r>
      <w:r>
        <w:rPr>
          <w:rFonts w:hint="eastAsia" w:ascii="仿宋_GB2312" w:hAnsi="仿宋_GB2312" w:eastAsia="仿宋_GB2312" w:cs="仿宋_GB2312"/>
          <w:color w:val="auto"/>
          <w:sz w:val="30"/>
          <w:szCs w:val="30"/>
          <w:lang w:val="en-US" w:eastAsia="zh-CN"/>
        </w:rPr>
        <w:t>与</w:t>
      </w:r>
      <w:r>
        <w:rPr>
          <w:rFonts w:hint="eastAsia" w:ascii="仿宋_GB2312" w:hAnsi="仿宋_GB2312" w:eastAsia="仿宋_GB2312" w:cs="仿宋_GB2312"/>
          <w:color w:val="auto"/>
          <w:sz w:val="30"/>
          <w:szCs w:val="30"/>
          <w:lang w:val="zh-CN" w:eastAsia="zh-CN"/>
        </w:rPr>
        <w:t>预算数</w:t>
      </w:r>
      <w:r>
        <w:rPr>
          <w:rFonts w:hint="eastAsia" w:ascii="仿宋_GB2312" w:hAnsi="仿宋_GB2312" w:eastAsia="仿宋_GB2312" w:cs="仿宋_GB2312"/>
          <w:color w:val="auto"/>
          <w:sz w:val="30"/>
          <w:szCs w:val="30"/>
          <w:lang w:val="en-US" w:eastAsia="zh-CN"/>
        </w:rPr>
        <w:t>一致，无变化；较上年决算数减少14.16</w:t>
      </w:r>
      <w:r>
        <w:rPr>
          <w:rFonts w:hint="eastAsia" w:ascii="仿宋_GB2312" w:hAnsi="仿宋_GB2312" w:eastAsia="仿宋_GB2312" w:cs="仿宋_GB2312"/>
          <w:color w:val="auto"/>
          <w:sz w:val="30"/>
          <w:szCs w:val="30"/>
          <w:lang w:val="zh-CN" w:eastAsia="zh-CN"/>
        </w:rPr>
        <w:t>万元</w:t>
      </w:r>
      <w:r>
        <w:rPr>
          <w:rFonts w:hint="eastAsia" w:ascii="仿宋_GB2312" w:hAnsi="仿宋_GB2312" w:eastAsia="仿宋_GB2312" w:cs="仿宋_GB2312"/>
          <w:color w:val="auto"/>
          <w:sz w:val="30"/>
          <w:szCs w:val="30"/>
          <w:lang w:val="en-US" w:eastAsia="zh-CN"/>
        </w:rPr>
        <w:t>,下降75.58</w:t>
      </w:r>
      <w:r>
        <w:rPr>
          <w:rFonts w:hint="eastAsia" w:ascii="仿宋_GB2312" w:hAnsi="仿宋_GB2312" w:eastAsia="仿宋_GB2312" w:cs="仿宋_GB2312"/>
          <w:color w:val="auto"/>
          <w:sz w:val="30"/>
          <w:szCs w:val="30"/>
          <w:lang w:val="zh-CN" w:eastAsia="zh-CN"/>
        </w:rPr>
        <w:t>%</w:t>
      </w:r>
      <w:r>
        <w:rPr>
          <w:rFonts w:hint="eastAsia" w:ascii="仿宋_GB2312" w:hAnsi="仿宋_GB2312" w:eastAsia="仿宋_GB2312" w:cs="仿宋_GB2312"/>
          <w:color w:val="auto"/>
          <w:sz w:val="30"/>
          <w:szCs w:val="30"/>
          <w:lang w:val="en-US" w:eastAsia="zh-CN"/>
        </w:rPr>
        <w:t>,主要原因是上年度购置公务用车。</w:t>
      </w:r>
    </w:p>
    <w:p w14:paraId="310FAB3C">
      <w:pPr>
        <w:keepNext w:val="0"/>
        <w:keepLines w:val="0"/>
        <w:pageBreakBefore w:val="0"/>
        <w:widowControl w:val="0"/>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楷体_GB2312" w:hAnsi="楷体_GB2312" w:eastAsia="楷体_GB2312" w:cs="楷体_GB2312"/>
          <w:b/>
          <w:bCs/>
          <w:color w:val="auto"/>
          <w:sz w:val="30"/>
          <w:szCs w:val="30"/>
          <w:lang w:val="zh-CN"/>
        </w:rPr>
      </w:pPr>
      <w:r>
        <w:rPr>
          <w:rFonts w:hint="eastAsia" w:ascii="楷体_GB2312" w:hAnsi="楷体_GB2312" w:eastAsia="楷体_GB2312" w:cs="楷体_GB2312"/>
          <w:b/>
          <w:bCs/>
          <w:color w:val="auto"/>
          <w:sz w:val="30"/>
          <w:szCs w:val="30"/>
          <w:lang w:val="zh-CN"/>
        </w:rPr>
        <w:t>（</w:t>
      </w:r>
      <w:r>
        <w:rPr>
          <w:rFonts w:hint="eastAsia" w:ascii="楷体_GB2312" w:hAnsi="楷体_GB2312" w:eastAsia="楷体_GB2312" w:cs="楷体_GB2312"/>
          <w:b/>
          <w:bCs/>
          <w:color w:val="auto"/>
          <w:sz w:val="30"/>
          <w:szCs w:val="30"/>
          <w:lang w:val="en-US" w:eastAsia="zh-CN"/>
        </w:rPr>
        <w:t>二</w:t>
      </w:r>
      <w:r>
        <w:rPr>
          <w:rFonts w:hint="eastAsia" w:ascii="楷体_GB2312" w:hAnsi="楷体_GB2312" w:eastAsia="楷体_GB2312" w:cs="楷体_GB2312"/>
          <w:b/>
          <w:bCs/>
          <w:color w:val="auto"/>
          <w:sz w:val="30"/>
          <w:szCs w:val="30"/>
          <w:lang w:val="zh-CN"/>
        </w:rPr>
        <w:t>）</w:t>
      </w:r>
      <w:r>
        <w:rPr>
          <w:rFonts w:hint="default" w:ascii="楷体_GB2312" w:hAnsi="楷体_GB2312" w:eastAsia="楷体_GB2312" w:cs="楷体_GB2312"/>
          <w:b/>
          <w:bCs/>
          <w:color w:val="auto"/>
          <w:sz w:val="30"/>
          <w:szCs w:val="30"/>
          <w:lang w:val="zh-CN"/>
        </w:rPr>
        <w:t>“</w:t>
      </w:r>
      <w:r>
        <w:rPr>
          <w:rFonts w:hint="eastAsia" w:ascii="楷体_GB2312" w:hAnsi="楷体_GB2312" w:eastAsia="楷体_GB2312" w:cs="楷体_GB2312"/>
          <w:b/>
          <w:bCs/>
          <w:color w:val="auto"/>
          <w:sz w:val="30"/>
          <w:szCs w:val="30"/>
          <w:lang w:val="zh-CN"/>
        </w:rPr>
        <w:t>三公</w:t>
      </w:r>
      <w:r>
        <w:rPr>
          <w:rFonts w:hint="default" w:ascii="楷体_GB2312" w:hAnsi="楷体_GB2312" w:eastAsia="楷体_GB2312" w:cs="楷体_GB2312"/>
          <w:b/>
          <w:bCs/>
          <w:color w:val="auto"/>
          <w:sz w:val="30"/>
          <w:szCs w:val="30"/>
          <w:lang w:val="zh-CN"/>
        </w:rPr>
        <w:t>”</w:t>
      </w:r>
      <w:r>
        <w:rPr>
          <w:rFonts w:hint="eastAsia" w:ascii="楷体_GB2312" w:hAnsi="楷体_GB2312" w:eastAsia="楷体_GB2312" w:cs="楷体_GB2312"/>
          <w:b/>
          <w:bCs/>
          <w:color w:val="auto"/>
          <w:sz w:val="30"/>
          <w:szCs w:val="30"/>
          <w:lang w:val="zh-CN"/>
        </w:rPr>
        <w:t>经费财政拨款支出决算具体情况说明</w:t>
      </w:r>
    </w:p>
    <w:p w14:paraId="3B9434C3">
      <w:pPr>
        <w:pageBreakBefore w:val="0"/>
        <w:widowControl/>
        <w:kinsoku/>
        <w:wordWrap/>
        <w:overflowPunct/>
        <w:topLinePunct w:val="0"/>
        <w:autoSpaceDE/>
        <w:autoSpaceDN/>
        <w:bidi w:val="0"/>
        <w:adjustRightInd/>
        <w:snapToGrid/>
        <w:spacing w:before="100" w:beforeLines="0" w:after="100" w:afterLines="0" w:line="560" w:lineRule="exact"/>
        <w:ind w:firstLine="602" w:firstLineChars="200"/>
        <w:jc w:val="left"/>
        <w:textAlignment w:val="auto"/>
        <w:rPr>
          <w:rFonts w:hint="eastAsia" w:ascii="仿宋_GB2312" w:hAnsi="仿宋_GB2312" w:eastAsia="仿宋_GB2312" w:cs="仿宋_GB2312"/>
          <w:color w:val="auto"/>
          <w:sz w:val="30"/>
          <w:szCs w:val="30"/>
          <w:lang w:val="en-US" w:eastAsia="zh-CN"/>
        </w:rPr>
      </w:pPr>
      <w:r>
        <w:rPr>
          <w:rFonts w:hint="default" w:ascii="仿宋_GB2312" w:hAnsi="仿宋_GB2312" w:eastAsia="仿宋_GB2312" w:cs="仿宋_GB2312"/>
          <w:b/>
          <w:bCs/>
          <w:color w:val="auto"/>
          <w:sz w:val="30"/>
          <w:szCs w:val="30"/>
          <w:lang w:val="zh-CN" w:eastAsia="zh-CN"/>
        </w:rPr>
        <w:t>1.</w:t>
      </w:r>
      <w:r>
        <w:rPr>
          <w:rFonts w:hint="eastAsia" w:ascii="仿宋_GB2312" w:hAnsi="仿宋_GB2312" w:eastAsia="仿宋_GB2312" w:cs="仿宋_GB2312"/>
          <w:b/>
          <w:bCs/>
          <w:color w:val="auto"/>
          <w:sz w:val="30"/>
          <w:szCs w:val="30"/>
          <w:lang w:val="zh-CN" w:eastAsia="zh-CN"/>
        </w:rPr>
        <w:t>因公出国(境)费用</w:t>
      </w:r>
      <w:r>
        <w:rPr>
          <w:rFonts w:hint="eastAsia" w:ascii="仿宋_GB2312" w:hAnsi="仿宋_GB2312" w:eastAsia="仿宋_GB2312" w:cs="仿宋_GB2312"/>
          <w:color w:val="auto"/>
          <w:sz w:val="30"/>
          <w:szCs w:val="30"/>
          <w:lang w:val="en-US" w:eastAsia="zh-CN"/>
        </w:rPr>
        <w:t>全年</w:t>
      </w:r>
      <w:r>
        <w:rPr>
          <w:rFonts w:hint="eastAsia" w:ascii="仿宋_GB2312" w:hAnsi="仿宋_GB2312" w:eastAsia="仿宋_GB2312" w:cs="仿宋_GB2312"/>
          <w:color w:val="auto"/>
          <w:sz w:val="30"/>
          <w:szCs w:val="30"/>
          <w:lang w:val="zh-CN" w:eastAsia="zh-CN"/>
        </w:rPr>
        <w:t>预算数为0.00万元,支出决算为0.00万元,决算数</w:t>
      </w:r>
      <w:r>
        <w:rPr>
          <w:rFonts w:hint="eastAsia" w:ascii="仿宋_GB2312" w:hAnsi="仿宋_GB2312" w:eastAsia="仿宋_GB2312" w:cs="仿宋_GB2312"/>
          <w:color w:val="auto"/>
          <w:sz w:val="30"/>
          <w:szCs w:val="30"/>
          <w:lang w:val="en-US" w:eastAsia="zh-CN"/>
        </w:rPr>
        <w:t>与</w:t>
      </w:r>
      <w:r>
        <w:rPr>
          <w:rFonts w:hint="eastAsia" w:ascii="仿宋_GB2312" w:hAnsi="仿宋_GB2312" w:eastAsia="仿宋_GB2312" w:cs="仿宋_GB2312"/>
          <w:color w:val="auto"/>
          <w:sz w:val="30"/>
          <w:szCs w:val="30"/>
          <w:lang w:val="zh-CN" w:eastAsia="zh-CN"/>
        </w:rPr>
        <w:t>预算数</w:t>
      </w:r>
      <w:r>
        <w:rPr>
          <w:rFonts w:hint="eastAsia" w:ascii="仿宋_GB2312" w:hAnsi="仿宋_GB2312" w:eastAsia="仿宋_GB2312" w:cs="仿宋_GB2312"/>
          <w:color w:val="auto"/>
          <w:sz w:val="30"/>
          <w:szCs w:val="30"/>
          <w:lang w:val="en-US" w:eastAsia="zh-CN"/>
        </w:rPr>
        <w:t>一致</w:t>
      </w:r>
      <w:r>
        <w:rPr>
          <w:rFonts w:hint="eastAsia" w:ascii="仿宋_GB2312" w:hAnsi="仿宋_GB2312" w:eastAsia="仿宋_GB2312" w:cs="仿宋_GB2312"/>
          <w:color w:val="auto"/>
          <w:sz w:val="30"/>
          <w:szCs w:val="30"/>
          <w:lang w:val="zh-CN" w:eastAsia="zh-CN"/>
        </w:rPr>
        <w:t>，</w:t>
      </w:r>
      <w:r>
        <w:rPr>
          <w:rFonts w:hint="eastAsia" w:ascii="仿宋_GB2312" w:hAnsi="仿宋_GB2312" w:eastAsia="仿宋_GB2312" w:cs="仿宋_GB2312"/>
          <w:color w:val="auto"/>
          <w:sz w:val="30"/>
          <w:szCs w:val="30"/>
          <w:lang w:val="en-US" w:eastAsia="zh-CN"/>
        </w:rPr>
        <w:t>无变化；较上年决算数无变化。</w:t>
      </w:r>
    </w:p>
    <w:p w14:paraId="63196FF8">
      <w:pPr>
        <w:pageBreakBefore w:val="0"/>
        <w:widowControl/>
        <w:kinsoku/>
        <w:wordWrap/>
        <w:overflowPunct/>
        <w:topLinePunct w:val="0"/>
        <w:autoSpaceDE/>
        <w:autoSpaceDN/>
        <w:bidi w:val="0"/>
        <w:adjustRightInd/>
        <w:snapToGrid/>
        <w:spacing w:before="100" w:beforeLines="0" w:after="100" w:afterLines="0" w:line="560" w:lineRule="exact"/>
        <w:ind w:firstLine="602" w:firstLineChars="200"/>
        <w:jc w:val="left"/>
        <w:textAlignment w:val="auto"/>
        <w:rPr>
          <w:rFonts w:hint="eastAsia" w:ascii="仿宋_GB2312" w:hAnsi="仿宋_GB2312" w:eastAsia="仿宋_GB2312" w:cs="仿宋_GB2312"/>
          <w:color w:val="auto"/>
          <w:sz w:val="30"/>
          <w:szCs w:val="30"/>
          <w:lang w:val="zh-CN" w:eastAsia="zh-CN"/>
        </w:rPr>
      </w:pPr>
      <w:r>
        <w:rPr>
          <w:rFonts w:hint="default" w:ascii="仿宋_GB2312" w:hAnsi="仿宋_GB2312" w:eastAsia="仿宋_GB2312" w:cs="仿宋_GB2312"/>
          <w:b/>
          <w:bCs/>
          <w:color w:val="auto"/>
          <w:sz w:val="30"/>
          <w:szCs w:val="30"/>
          <w:lang w:val="zh-CN" w:eastAsia="zh-CN"/>
        </w:rPr>
        <w:t>2.</w:t>
      </w:r>
      <w:r>
        <w:rPr>
          <w:rFonts w:hint="eastAsia" w:ascii="仿宋_GB2312" w:hAnsi="仿宋_GB2312" w:eastAsia="仿宋_GB2312" w:cs="仿宋_GB2312"/>
          <w:b/>
          <w:bCs/>
          <w:color w:val="auto"/>
          <w:sz w:val="30"/>
          <w:szCs w:val="30"/>
          <w:lang w:val="zh-CN" w:eastAsia="zh-CN"/>
        </w:rPr>
        <w:t>公务用车购置及运行维护费</w:t>
      </w:r>
      <w:r>
        <w:rPr>
          <w:rFonts w:hint="eastAsia" w:ascii="仿宋_GB2312" w:hAnsi="仿宋_GB2312" w:eastAsia="仿宋_GB2312" w:cs="仿宋_GB2312"/>
          <w:color w:val="auto"/>
          <w:sz w:val="30"/>
          <w:szCs w:val="30"/>
          <w:lang w:val="en-US" w:eastAsia="zh-CN"/>
        </w:rPr>
        <w:t>全年</w:t>
      </w:r>
      <w:r>
        <w:rPr>
          <w:rFonts w:hint="eastAsia" w:ascii="仿宋_GB2312" w:hAnsi="仿宋_GB2312" w:eastAsia="仿宋_GB2312" w:cs="仿宋_GB2312"/>
          <w:color w:val="auto"/>
          <w:sz w:val="30"/>
          <w:szCs w:val="30"/>
          <w:lang w:val="zh-CN" w:eastAsia="zh-CN"/>
        </w:rPr>
        <w:t>预算数为3.89万元,支出决算为3.89万元,决算数</w:t>
      </w:r>
      <w:r>
        <w:rPr>
          <w:rFonts w:hint="eastAsia" w:ascii="仿宋_GB2312" w:hAnsi="仿宋_GB2312" w:eastAsia="仿宋_GB2312" w:cs="仿宋_GB2312"/>
          <w:color w:val="auto"/>
          <w:sz w:val="30"/>
          <w:szCs w:val="30"/>
          <w:lang w:val="en-US" w:eastAsia="zh-CN"/>
        </w:rPr>
        <w:t>与</w:t>
      </w:r>
      <w:r>
        <w:rPr>
          <w:rFonts w:hint="eastAsia" w:ascii="仿宋_GB2312" w:hAnsi="仿宋_GB2312" w:eastAsia="仿宋_GB2312" w:cs="仿宋_GB2312"/>
          <w:color w:val="auto"/>
          <w:sz w:val="30"/>
          <w:szCs w:val="30"/>
          <w:lang w:val="zh-CN" w:eastAsia="zh-CN"/>
        </w:rPr>
        <w:t>预算数</w:t>
      </w:r>
      <w:r>
        <w:rPr>
          <w:rFonts w:hint="eastAsia" w:ascii="仿宋_GB2312" w:hAnsi="仿宋_GB2312" w:eastAsia="仿宋_GB2312" w:cs="仿宋_GB2312"/>
          <w:color w:val="auto"/>
          <w:sz w:val="30"/>
          <w:szCs w:val="30"/>
          <w:lang w:val="en-US" w:eastAsia="zh-CN"/>
        </w:rPr>
        <w:t>一致，无变化；较上年决算数减少14.09</w:t>
      </w:r>
      <w:r>
        <w:rPr>
          <w:rFonts w:hint="eastAsia" w:ascii="仿宋_GB2312" w:hAnsi="仿宋_GB2312" w:eastAsia="仿宋_GB2312" w:cs="仿宋_GB2312"/>
          <w:color w:val="auto"/>
          <w:sz w:val="30"/>
          <w:szCs w:val="30"/>
          <w:lang w:val="zh-CN" w:eastAsia="zh-CN"/>
        </w:rPr>
        <w:t>万元</w:t>
      </w:r>
      <w:r>
        <w:rPr>
          <w:rFonts w:hint="eastAsia" w:ascii="仿宋_GB2312" w:hAnsi="仿宋_GB2312" w:eastAsia="仿宋_GB2312" w:cs="仿宋_GB2312"/>
          <w:color w:val="auto"/>
          <w:sz w:val="30"/>
          <w:szCs w:val="30"/>
          <w:lang w:val="en-US" w:eastAsia="zh-CN"/>
        </w:rPr>
        <w:t>,下降78.36</w:t>
      </w:r>
      <w:r>
        <w:rPr>
          <w:rFonts w:hint="eastAsia" w:ascii="仿宋_GB2312" w:hAnsi="仿宋_GB2312" w:eastAsia="仿宋_GB2312" w:cs="仿宋_GB2312"/>
          <w:color w:val="auto"/>
          <w:sz w:val="30"/>
          <w:szCs w:val="30"/>
          <w:lang w:val="zh-CN" w:eastAsia="zh-CN"/>
        </w:rPr>
        <w:t>%</w:t>
      </w:r>
      <w:r>
        <w:rPr>
          <w:rFonts w:hint="eastAsia" w:ascii="仿宋_GB2312" w:hAnsi="仿宋_GB2312" w:eastAsia="仿宋_GB2312" w:cs="仿宋_GB2312"/>
          <w:color w:val="auto"/>
          <w:sz w:val="30"/>
          <w:szCs w:val="30"/>
          <w:lang w:val="en-US" w:eastAsia="zh-CN"/>
        </w:rPr>
        <w:t>,主要原因是上年度购置公务用车1辆，本年度产生了公务用车运行维护费。</w:t>
      </w:r>
    </w:p>
    <w:p w14:paraId="2D088F05">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zh-CN" w:eastAsia="zh-CN"/>
        </w:rPr>
        <w:t>其中：</w:t>
      </w:r>
      <w:r>
        <w:rPr>
          <w:rFonts w:hint="eastAsia" w:ascii="仿宋_GB2312" w:hAnsi="仿宋_GB2312" w:eastAsia="仿宋_GB2312" w:cs="仿宋_GB2312"/>
          <w:b/>
          <w:bCs/>
          <w:color w:val="auto"/>
          <w:sz w:val="30"/>
          <w:szCs w:val="30"/>
          <w:lang w:val="zh-CN" w:eastAsia="zh-CN"/>
        </w:rPr>
        <w:t>公务用车购置费</w:t>
      </w:r>
      <w:r>
        <w:rPr>
          <w:rFonts w:hint="eastAsia" w:ascii="仿宋_GB2312" w:hAnsi="仿宋_GB2312" w:eastAsia="仿宋_GB2312" w:cs="仿宋_GB2312"/>
          <w:color w:val="auto"/>
          <w:sz w:val="30"/>
          <w:szCs w:val="30"/>
          <w:lang w:val="en-US" w:eastAsia="zh-CN"/>
        </w:rPr>
        <w:t>全年</w:t>
      </w:r>
      <w:r>
        <w:rPr>
          <w:rFonts w:hint="eastAsia" w:ascii="仿宋_GB2312" w:hAnsi="仿宋_GB2312" w:eastAsia="仿宋_GB2312" w:cs="仿宋_GB2312"/>
          <w:color w:val="auto"/>
          <w:sz w:val="30"/>
          <w:szCs w:val="30"/>
          <w:lang w:val="zh-CN" w:eastAsia="zh-CN"/>
        </w:rPr>
        <w:t>预算数为0.00万元,支出决算为0.00万元,决算数</w:t>
      </w:r>
      <w:r>
        <w:rPr>
          <w:rFonts w:hint="eastAsia" w:ascii="仿宋_GB2312" w:hAnsi="仿宋_GB2312" w:eastAsia="仿宋_GB2312" w:cs="仿宋_GB2312"/>
          <w:color w:val="auto"/>
          <w:sz w:val="30"/>
          <w:szCs w:val="30"/>
          <w:lang w:val="en-US" w:eastAsia="zh-CN"/>
        </w:rPr>
        <w:t>与</w:t>
      </w:r>
      <w:r>
        <w:rPr>
          <w:rFonts w:hint="eastAsia" w:ascii="仿宋_GB2312" w:hAnsi="仿宋_GB2312" w:eastAsia="仿宋_GB2312" w:cs="仿宋_GB2312"/>
          <w:color w:val="auto"/>
          <w:sz w:val="30"/>
          <w:szCs w:val="30"/>
          <w:lang w:val="zh-CN" w:eastAsia="zh-CN"/>
        </w:rPr>
        <w:t>预算数</w:t>
      </w:r>
      <w:r>
        <w:rPr>
          <w:rFonts w:hint="eastAsia" w:ascii="仿宋_GB2312" w:hAnsi="仿宋_GB2312" w:eastAsia="仿宋_GB2312" w:cs="仿宋_GB2312"/>
          <w:color w:val="auto"/>
          <w:sz w:val="30"/>
          <w:szCs w:val="30"/>
          <w:lang w:val="en-US" w:eastAsia="zh-CN"/>
        </w:rPr>
        <w:t>一致，无变化；较上年决算数减少17.98</w:t>
      </w:r>
      <w:r>
        <w:rPr>
          <w:rFonts w:hint="eastAsia" w:ascii="仿宋_GB2312" w:hAnsi="仿宋_GB2312" w:eastAsia="仿宋_GB2312" w:cs="仿宋_GB2312"/>
          <w:color w:val="auto"/>
          <w:sz w:val="30"/>
          <w:szCs w:val="30"/>
          <w:lang w:val="zh-CN" w:eastAsia="zh-CN"/>
        </w:rPr>
        <w:t>万元</w:t>
      </w:r>
      <w:r>
        <w:rPr>
          <w:rFonts w:hint="eastAsia" w:ascii="仿宋_GB2312" w:hAnsi="仿宋_GB2312" w:eastAsia="仿宋_GB2312" w:cs="仿宋_GB2312"/>
          <w:color w:val="auto"/>
          <w:sz w:val="30"/>
          <w:szCs w:val="30"/>
          <w:lang w:val="en-US" w:eastAsia="zh-CN"/>
        </w:rPr>
        <w:t>,下降100.0</w:t>
      </w:r>
      <w:r>
        <w:rPr>
          <w:rFonts w:hint="eastAsia" w:ascii="仿宋_GB2312" w:hAnsi="仿宋_GB2312" w:eastAsia="仿宋_GB2312" w:cs="仿宋_GB2312"/>
          <w:color w:val="auto"/>
          <w:sz w:val="30"/>
          <w:szCs w:val="30"/>
          <w:lang w:val="zh-CN" w:eastAsia="zh-CN"/>
        </w:rPr>
        <w:t>%</w:t>
      </w:r>
      <w:r>
        <w:rPr>
          <w:rFonts w:hint="eastAsia" w:ascii="仿宋_GB2312" w:hAnsi="仿宋_GB2312" w:eastAsia="仿宋_GB2312" w:cs="仿宋_GB2312"/>
          <w:color w:val="auto"/>
          <w:sz w:val="30"/>
          <w:szCs w:val="30"/>
          <w:lang w:val="en-US" w:eastAsia="zh-CN"/>
        </w:rPr>
        <w:t>,主要原因是上年度购置公务用车1辆</w:t>
      </w:r>
      <w:r>
        <w:rPr>
          <w:rFonts w:hint="eastAsia" w:ascii="仿宋_GB2312" w:hAnsi="仿宋_GB2312" w:eastAsia="仿宋_GB2312" w:cs="仿宋_GB2312"/>
          <w:color w:val="auto"/>
          <w:sz w:val="30"/>
          <w:szCs w:val="30"/>
          <w:lang w:val="zh-CN" w:eastAsia="zh-CN"/>
        </w:rPr>
        <w:t>。</w:t>
      </w:r>
    </w:p>
    <w:p w14:paraId="0E61D068">
      <w:pPr>
        <w:keepNext w:val="0"/>
        <w:keepLines w:val="0"/>
        <w:pageBreakBefore w:val="0"/>
        <w:widowControl w:val="0"/>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b/>
          <w:bCs/>
          <w:color w:val="auto"/>
          <w:sz w:val="30"/>
          <w:szCs w:val="30"/>
          <w:lang w:val="zh-CN" w:eastAsia="zh-CN"/>
        </w:rPr>
        <w:t>公务用车运行维护费</w:t>
      </w:r>
      <w:r>
        <w:rPr>
          <w:rFonts w:hint="eastAsia" w:ascii="仿宋_GB2312" w:hAnsi="仿宋_GB2312" w:eastAsia="仿宋_GB2312" w:cs="仿宋_GB2312"/>
          <w:color w:val="auto"/>
          <w:sz w:val="30"/>
          <w:szCs w:val="30"/>
          <w:lang w:val="en-US" w:eastAsia="zh-CN"/>
        </w:rPr>
        <w:t>全年</w:t>
      </w:r>
      <w:r>
        <w:rPr>
          <w:rFonts w:hint="eastAsia" w:ascii="仿宋_GB2312" w:hAnsi="仿宋_GB2312" w:eastAsia="仿宋_GB2312" w:cs="仿宋_GB2312"/>
          <w:color w:val="auto"/>
          <w:sz w:val="30"/>
          <w:szCs w:val="30"/>
          <w:lang w:val="zh-CN" w:eastAsia="zh-CN"/>
        </w:rPr>
        <w:t>预算数为3.89万元,支出决算为3.89万元,决算数</w:t>
      </w:r>
      <w:r>
        <w:rPr>
          <w:rFonts w:hint="eastAsia" w:ascii="仿宋_GB2312" w:hAnsi="仿宋_GB2312" w:eastAsia="仿宋_GB2312" w:cs="仿宋_GB2312"/>
          <w:color w:val="auto"/>
          <w:sz w:val="30"/>
          <w:szCs w:val="30"/>
          <w:lang w:val="en-US" w:eastAsia="zh-CN"/>
        </w:rPr>
        <w:t>与</w:t>
      </w:r>
      <w:r>
        <w:rPr>
          <w:rFonts w:hint="eastAsia" w:ascii="仿宋_GB2312" w:hAnsi="仿宋_GB2312" w:eastAsia="仿宋_GB2312" w:cs="仿宋_GB2312"/>
          <w:color w:val="auto"/>
          <w:sz w:val="30"/>
          <w:szCs w:val="30"/>
          <w:lang w:val="zh-CN" w:eastAsia="zh-CN"/>
        </w:rPr>
        <w:t>预算数</w:t>
      </w:r>
      <w:r>
        <w:rPr>
          <w:rFonts w:hint="eastAsia" w:ascii="仿宋_GB2312" w:hAnsi="仿宋_GB2312" w:eastAsia="仿宋_GB2312" w:cs="仿宋_GB2312"/>
          <w:color w:val="auto"/>
          <w:sz w:val="30"/>
          <w:szCs w:val="30"/>
          <w:lang w:val="en-US" w:eastAsia="zh-CN"/>
        </w:rPr>
        <w:t>一致，无变化；较上年决算数增加3.89</w:t>
      </w:r>
      <w:r>
        <w:rPr>
          <w:rFonts w:hint="eastAsia" w:ascii="仿宋_GB2312" w:hAnsi="仿宋_GB2312" w:eastAsia="仿宋_GB2312" w:cs="仿宋_GB2312"/>
          <w:color w:val="auto"/>
          <w:sz w:val="30"/>
          <w:szCs w:val="30"/>
          <w:lang w:val="zh-CN" w:eastAsia="zh-CN"/>
        </w:rPr>
        <w:t>万元</w:t>
      </w:r>
      <w:r>
        <w:rPr>
          <w:rFonts w:hint="eastAsia" w:ascii="仿宋_GB2312" w:hAnsi="仿宋_GB2312" w:eastAsia="仿宋_GB2312" w:cs="仿宋_GB2312"/>
          <w:color w:val="auto"/>
          <w:sz w:val="30"/>
          <w:szCs w:val="30"/>
          <w:lang w:val="en-US" w:eastAsia="zh-CN"/>
        </w:rPr>
        <w:t>,增长</w:t>
      </w:r>
      <w:r>
        <w:rPr>
          <w:rFonts w:hint="eastAsia" w:ascii="仿宋_GB2312" w:hAnsi="仿宋_GB2312" w:eastAsia="仿宋_GB2312" w:cs="仿宋_GB2312"/>
          <w:color w:val="auto"/>
          <w:sz w:val="30"/>
          <w:szCs w:val="30"/>
          <w:lang w:val="zh-CN" w:eastAsia="zh-CN"/>
        </w:rPr>
        <w:t>%</w:t>
      </w:r>
      <w:r>
        <w:rPr>
          <w:rFonts w:hint="eastAsia" w:ascii="仿宋_GB2312" w:hAnsi="仿宋_GB2312" w:eastAsia="仿宋_GB2312" w:cs="仿宋_GB2312"/>
          <w:color w:val="auto"/>
          <w:sz w:val="30"/>
          <w:szCs w:val="30"/>
          <w:lang w:val="en-US" w:eastAsia="zh-CN"/>
        </w:rPr>
        <w:t>,主要原因是上年度购置公务用车1辆，本年度产生公务用车运行维护费。</w:t>
      </w:r>
    </w:p>
    <w:p w14:paraId="6897F7F5">
      <w:pPr>
        <w:keepNext w:val="0"/>
        <w:keepLines w:val="0"/>
        <w:pageBreakBefore w:val="0"/>
        <w:widowControl w:val="0"/>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b/>
          <w:bCs/>
          <w:color w:val="auto"/>
          <w:sz w:val="30"/>
          <w:szCs w:val="30"/>
          <w:lang w:val="zh-CN" w:eastAsia="zh-CN"/>
        </w:rPr>
        <w:t>公务接待费</w:t>
      </w:r>
      <w:r>
        <w:rPr>
          <w:rFonts w:hint="eastAsia" w:ascii="仿宋_GB2312" w:hAnsi="仿宋_GB2312" w:eastAsia="仿宋_GB2312" w:cs="仿宋_GB2312"/>
          <w:color w:val="auto"/>
          <w:sz w:val="30"/>
          <w:szCs w:val="30"/>
          <w:lang w:val="en-US" w:eastAsia="zh-CN"/>
        </w:rPr>
        <w:t>全</w:t>
      </w:r>
      <w:r>
        <w:rPr>
          <w:rFonts w:hint="eastAsia" w:ascii="仿宋_GB2312" w:hAnsi="仿宋_GB2312" w:eastAsia="仿宋_GB2312" w:cs="仿宋_GB2312"/>
          <w:color w:val="auto"/>
          <w:sz w:val="30"/>
          <w:szCs w:val="30"/>
          <w:lang w:val="zh-CN" w:eastAsia="zh-CN"/>
        </w:rPr>
        <w:t>年预算数为0.69万元,支出决算为0.69万元,决算数</w:t>
      </w:r>
      <w:r>
        <w:rPr>
          <w:rFonts w:hint="eastAsia" w:ascii="仿宋_GB2312" w:hAnsi="仿宋_GB2312" w:eastAsia="仿宋_GB2312" w:cs="仿宋_GB2312"/>
          <w:color w:val="auto"/>
          <w:sz w:val="30"/>
          <w:szCs w:val="30"/>
          <w:lang w:val="en-US" w:eastAsia="zh-CN"/>
        </w:rPr>
        <w:t>与</w:t>
      </w:r>
      <w:r>
        <w:rPr>
          <w:rFonts w:hint="eastAsia" w:ascii="仿宋_GB2312" w:hAnsi="仿宋_GB2312" w:eastAsia="仿宋_GB2312" w:cs="仿宋_GB2312"/>
          <w:color w:val="auto"/>
          <w:sz w:val="30"/>
          <w:szCs w:val="30"/>
          <w:lang w:val="zh-CN" w:eastAsia="zh-CN"/>
        </w:rPr>
        <w:t>预算数</w:t>
      </w:r>
      <w:r>
        <w:rPr>
          <w:rFonts w:hint="eastAsia" w:ascii="仿宋_GB2312" w:hAnsi="仿宋_GB2312" w:eastAsia="仿宋_GB2312" w:cs="仿宋_GB2312"/>
          <w:color w:val="auto"/>
          <w:sz w:val="30"/>
          <w:szCs w:val="30"/>
          <w:lang w:val="en-US" w:eastAsia="zh-CN"/>
        </w:rPr>
        <w:t>一致，无变化；较上年决算数减少0.07</w:t>
      </w:r>
      <w:r>
        <w:rPr>
          <w:rFonts w:hint="eastAsia" w:ascii="仿宋_GB2312" w:hAnsi="仿宋_GB2312" w:eastAsia="仿宋_GB2312" w:cs="仿宋_GB2312"/>
          <w:color w:val="auto"/>
          <w:sz w:val="30"/>
          <w:szCs w:val="30"/>
          <w:lang w:val="zh-CN" w:eastAsia="zh-CN"/>
        </w:rPr>
        <w:t>万元</w:t>
      </w:r>
      <w:r>
        <w:rPr>
          <w:rFonts w:hint="eastAsia" w:ascii="仿宋_GB2312" w:hAnsi="仿宋_GB2312" w:eastAsia="仿宋_GB2312" w:cs="仿宋_GB2312"/>
          <w:color w:val="auto"/>
          <w:sz w:val="30"/>
          <w:szCs w:val="30"/>
          <w:lang w:val="en-US" w:eastAsia="zh-CN"/>
        </w:rPr>
        <w:t>,下降9.69</w:t>
      </w:r>
      <w:r>
        <w:rPr>
          <w:rFonts w:hint="eastAsia" w:ascii="仿宋_GB2312" w:hAnsi="仿宋_GB2312" w:eastAsia="仿宋_GB2312" w:cs="仿宋_GB2312"/>
          <w:color w:val="auto"/>
          <w:sz w:val="30"/>
          <w:szCs w:val="30"/>
          <w:lang w:val="zh-CN" w:eastAsia="zh-CN"/>
        </w:rPr>
        <w:t>%</w:t>
      </w:r>
      <w:r>
        <w:rPr>
          <w:rFonts w:hint="eastAsia" w:ascii="仿宋_GB2312" w:hAnsi="仿宋_GB2312" w:eastAsia="仿宋_GB2312" w:cs="仿宋_GB2312"/>
          <w:color w:val="auto"/>
          <w:sz w:val="30"/>
          <w:szCs w:val="30"/>
          <w:lang w:val="en-US" w:eastAsia="zh-CN"/>
        </w:rPr>
        <w:t>,主要原因是严格贯彻落实厉行节约反对浪费精神，加强公务接待管理，严格控制相关费用，支出相应减少</w:t>
      </w:r>
      <w:r>
        <w:rPr>
          <w:rFonts w:hint="eastAsia" w:ascii="仿宋_GB2312" w:hAnsi="仿宋_GB2312" w:eastAsia="仿宋_GB2312" w:cs="仿宋_GB2312"/>
          <w:color w:val="auto"/>
          <w:sz w:val="30"/>
          <w:szCs w:val="30"/>
          <w:lang w:val="zh-CN" w:eastAsia="zh-CN"/>
        </w:rPr>
        <w:t>。</w:t>
      </w:r>
    </w:p>
    <w:p w14:paraId="7E24A885">
      <w:pPr>
        <w:pageBreakBefore w:val="0"/>
        <w:widowControl/>
        <w:kinsoku/>
        <w:wordWrap/>
        <w:overflowPunct/>
        <w:topLinePunct w:val="0"/>
        <w:autoSpaceDE/>
        <w:autoSpaceDN/>
        <w:bidi w:val="0"/>
        <w:adjustRightInd/>
        <w:snapToGrid/>
        <w:spacing w:before="100" w:beforeLines="0" w:after="100" w:afterLines="0" w:line="560" w:lineRule="exact"/>
        <w:ind w:firstLine="602"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b/>
          <w:bCs/>
          <w:color w:val="auto"/>
          <w:sz w:val="30"/>
          <w:szCs w:val="30"/>
          <w:lang w:val="zh-CN" w:eastAsia="zh-CN"/>
        </w:rPr>
        <w:t>外事接待费</w:t>
      </w:r>
      <w:r>
        <w:rPr>
          <w:rFonts w:hint="eastAsia" w:ascii="仿宋_GB2312" w:hAnsi="仿宋_GB2312" w:eastAsia="仿宋_GB2312" w:cs="仿宋_GB2312"/>
          <w:color w:val="auto"/>
          <w:sz w:val="30"/>
          <w:szCs w:val="30"/>
          <w:lang w:val="zh-CN" w:eastAsia="zh-CN"/>
        </w:rPr>
        <w:t>支出0.00万元。</w:t>
      </w:r>
    </w:p>
    <w:p w14:paraId="140C0625">
      <w:pPr>
        <w:pageBreakBefore w:val="0"/>
        <w:widowControl/>
        <w:kinsoku/>
        <w:wordWrap/>
        <w:overflowPunct/>
        <w:topLinePunct w:val="0"/>
        <w:autoSpaceDE/>
        <w:autoSpaceDN/>
        <w:bidi w:val="0"/>
        <w:adjustRightInd/>
        <w:snapToGrid/>
        <w:spacing w:before="100" w:beforeLines="0" w:after="100" w:afterLines="0" w:line="560" w:lineRule="exact"/>
        <w:ind w:firstLine="602" w:firstLineChars="200"/>
        <w:jc w:val="left"/>
        <w:textAlignment w:val="auto"/>
        <w:rPr>
          <w:rFonts w:hint="default" w:ascii="仿宋_GB2312" w:hAnsi="仿宋_GB2312" w:eastAsia="仿宋_GB2312" w:cs="仿宋_GB2312"/>
          <w:color w:val="auto"/>
          <w:sz w:val="30"/>
          <w:szCs w:val="30"/>
          <w:lang w:val="en-US" w:eastAsia="zh-CN"/>
        </w:rPr>
      </w:pPr>
      <w:r>
        <w:rPr>
          <w:rFonts w:hint="eastAsia" w:ascii="仿宋_GB2312" w:hAnsi="仿宋_GB2312" w:eastAsia="仿宋_GB2312" w:cs="仿宋_GB2312"/>
          <w:b/>
          <w:bCs/>
          <w:color w:val="auto"/>
          <w:sz w:val="30"/>
          <w:szCs w:val="30"/>
          <w:lang w:val="en-US" w:eastAsia="zh-CN"/>
        </w:rPr>
        <w:t>其他国内公务接待</w:t>
      </w:r>
      <w:r>
        <w:rPr>
          <w:rFonts w:hint="eastAsia" w:ascii="仿宋_GB2312" w:hAnsi="仿宋_GB2312" w:eastAsia="仿宋_GB2312" w:cs="仿宋_GB2312"/>
          <w:color w:val="auto"/>
          <w:sz w:val="30"/>
          <w:szCs w:val="30"/>
          <w:lang w:val="en-US" w:eastAsia="zh-CN"/>
        </w:rPr>
        <w:t>支出</w:t>
      </w:r>
      <w:r>
        <w:rPr>
          <w:rFonts w:hint="eastAsia" w:ascii="仿宋_GB2312" w:hAnsi="仿宋_GB2312" w:eastAsia="仿宋_GB2312" w:cs="仿宋_GB2312"/>
          <w:color w:val="auto"/>
          <w:sz w:val="30"/>
          <w:szCs w:val="30"/>
          <w:lang w:val="zh-CN" w:eastAsia="zh-CN"/>
        </w:rPr>
        <w:t>0.69万元。主要是</w:t>
      </w:r>
      <w:r>
        <w:rPr>
          <w:rFonts w:hint="eastAsia" w:ascii="仿宋_GB2312" w:hAnsi="仿宋_GB2312" w:eastAsia="仿宋_GB2312" w:cs="仿宋_GB2312"/>
          <w:color w:val="auto"/>
          <w:sz w:val="30"/>
          <w:szCs w:val="30"/>
          <w:lang w:val="en-US" w:eastAsia="zh-CN"/>
        </w:rPr>
        <w:t>省市上级公务活动接待，共接待</w:t>
      </w:r>
      <w:r>
        <w:rPr>
          <w:rFonts w:hint="eastAsia" w:ascii="仿宋_GB2312" w:hAnsi="仿宋_GB2312" w:eastAsia="仿宋_GB2312" w:cs="仿宋_GB2312"/>
          <w:sz w:val="32"/>
          <w:szCs w:val="32"/>
        </w:rPr>
        <w:t>8批次、121人次</w:t>
      </w:r>
      <w:r>
        <w:rPr>
          <w:rFonts w:hint="eastAsia" w:ascii="仿宋_GB2312" w:hAnsi="仿宋_GB2312" w:eastAsia="仿宋_GB2312" w:cs="仿宋_GB2312"/>
          <w:color w:val="auto"/>
          <w:sz w:val="30"/>
          <w:szCs w:val="30"/>
          <w:lang w:val="zh-CN" w:eastAsia="zh-CN"/>
        </w:rPr>
        <w:t>。</w:t>
      </w:r>
    </w:p>
    <w:p w14:paraId="15CE7933">
      <w:pPr>
        <w:keepNext w:val="0"/>
        <w:keepLines w:val="0"/>
        <w:pageBreakBefore w:val="0"/>
        <w:widowControl w:val="0"/>
        <w:kinsoku/>
        <w:wordWrap/>
        <w:overflowPunct/>
        <w:topLinePunct w:val="0"/>
        <w:autoSpaceDE/>
        <w:autoSpaceDN/>
        <w:bidi w:val="0"/>
        <w:adjustRightInd/>
        <w:snapToGrid/>
        <w:spacing w:beforeLines="0" w:afterLines="0" w:line="560" w:lineRule="exact"/>
        <w:ind w:firstLine="602" w:firstLineChars="200"/>
        <w:jc w:val="left"/>
        <w:textAlignment w:val="auto"/>
        <w:rPr>
          <w:rFonts w:hint="eastAsia" w:ascii="楷体_GB2312" w:hAnsi="楷体_GB2312" w:eastAsia="楷体_GB2312" w:cs="楷体_GB2312"/>
          <w:b/>
          <w:bCs/>
          <w:color w:val="auto"/>
          <w:sz w:val="30"/>
          <w:szCs w:val="30"/>
          <w:lang w:val="zh-CN"/>
        </w:rPr>
      </w:pPr>
      <w:r>
        <w:rPr>
          <w:rFonts w:hint="eastAsia" w:ascii="楷体_GB2312" w:hAnsi="楷体_GB2312" w:eastAsia="楷体_GB2312" w:cs="楷体_GB2312"/>
          <w:b/>
          <w:bCs/>
          <w:color w:val="auto"/>
          <w:sz w:val="30"/>
          <w:szCs w:val="30"/>
          <w:lang w:val="zh-CN"/>
        </w:rPr>
        <w:t>（</w:t>
      </w:r>
      <w:r>
        <w:rPr>
          <w:rFonts w:hint="eastAsia" w:ascii="楷体_GB2312" w:hAnsi="楷体_GB2312" w:eastAsia="楷体_GB2312" w:cs="楷体_GB2312"/>
          <w:b/>
          <w:bCs/>
          <w:color w:val="auto"/>
          <w:sz w:val="30"/>
          <w:szCs w:val="30"/>
          <w:lang w:val="en-US" w:eastAsia="zh-CN"/>
        </w:rPr>
        <w:t>三</w:t>
      </w:r>
      <w:r>
        <w:rPr>
          <w:rFonts w:hint="eastAsia" w:ascii="楷体_GB2312" w:hAnsi="楷体_GB2312" w:eastAsia="楷体_GB2312" w:cs="楷体_GB2312"/>
          <w:b/>
          <w:bCs/>
          <w:color w:val="auto"/>
          <w:sz w:val="30"/>
          <w:szCs w:val="30"/>
          <w:lang w:val="zh-CN"/>
        </w:rPr>
        <w:t>）</w:t>
      </w:r>
      <w:r>
        <w:rPr>
          <w:rFonts w:hint="default" w:ascii="楷体_GB2312" w:hAnsi="楷体_GB2312" w:eastAsia="楷体_GB2312" w:cs="楷体_GB2312"/>
          <w:b/>
          <w:bCs/>
          <w:color w:val="auto"/>
          <w:sz w:val="30"/>
          <w:szCs w:val="30"/>
          <w:lang w:val="zh-CN"/>
        </w:rPr>
        <w:t>“</w:t>
      </w:r>
      <w:r>
        <w:rPr>
          <w:rFonts w:hint="eastAsia" w:ascii="楷体_GB2312" w:hAnsi="楷体_GB2312" w:eastAsia="楷体_GB2312" w:cs="楷体_GB2312"/>
          <w:b/>
          <w:bCs/>
          <w:color w:val="auto"/>
          <w:sz w:val="30"/>
          <w:szCs w:val="30"/>
          <w:lang w:val="zh-CN"/>
        </w:rPr>
        <w:t>三公</w:t>
      </w:r>
      <w:r>
        <w:rPr>
          <w:rFonts w:hint="default" w:ascii="楷体_GB2312" w:hAnsi="楷体_GB2312" w:eastAsia="楷体_GB2312" w:cs="楷体_GB2312"/>
          <w:b/>
          <w:bCs/>
          <w:color w:val="auto"/>
          <w:sz w:val="30"/>
          <w:szCs w:val="30"/>
          <w:lang w:val="zh-CN"/>
        </w:rPr>
        <w:t>”</w:t>
      </w:r>
      <w:r>
        <w:rPr>
          <w:rFonts w:hint="eastAsia" w:ascii="楷体_GB2312" w:hAnsi="楷体_GB2312" w:eastAsia="楷体_GB2312" w:cs="楷体_GB2312"/>
          <w:b/>
          <w:bCs/>
          <w:color w:val="auto"/>
          <w:sz w:val="30"/>
          <w:szCs w:val="30"/>
          <w:lang w:val="zh-CN"/>
        </w:rPr>
        <w:t>经费财政拨款支出决算实物量情况</w:t>
      </w:r>
    </w:p>
    <w:p w14:paraId="1B0F303A">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zh-CN" w:eastAsia="zh-CN"/>
        </w:rPr>
        <w:t>2023年度本部门因公出国(境)共计</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eastAsia="zh-CN"/>
        </w:rPr>
        <w:t>个团组,</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eastAsia="zh-CN"/>
        </w:rPr>
        <w:t>人；公务用车购置</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eastAsia="zh-CN"/>
        </w:rPr>
        <w:t>辆,公务用车保有量为1辆；国内公务接待8批次121人,其中：外事接待</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eastAsia="zh-CN"/>
        </w:rPr>
        <w:t>批次,</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eastAsia="zh-CN"/>
        </w:rPr>
        <w:t>人；国(境)外公务接待</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eastAsia="zh-CN"/>
        </w:rPr>
        <w:t>批次,</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eastAsia="zh-CN"/>
        </w:rPr>
        <w:t>人。</w:t>
      </w:r>
    </w:p>
    <w:p w14:paraId="37EB480F">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en-US" w:eastAsia="zh-CN"/>
        </w:rPr>
        <w:t>十</w:t>
      </w:r>
      <w:r>
        <w:rPr>
          <w:rFonts w:hint="eastAsia" w:ascii="黑体" w:hAnsi="黑体" w:eastAsia="黑体" w:cs="黑体"/>
          <w:sz w:val="30"/>
          <w:szCs w:val="30"/>
          <w:lang w:val="zh-CN" w:eastAsia="zh-CN"/>
        </w:rPr>
        <w:t>、机关运行经费支出情况说明</w:t>
      </w:r>
    </w:p>
    <w:p w14:paraId="46A4BC48">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zh-CN" w:eastAsia="zh-CN"/>
        </w:rPr>
        <w:t>2023年度本部门机关运行经费支出126.10万元,机关运行经费主要用于开支办公费、印刷费、水费、电费、邮电费、物业管理费、差旅费、维修（护）费、会议费、培训费、公务接待费、劳务费、工会经费、福利费、公务用车运行维护费、其他交通费用、其他商品和服务支出。机关运行经费较上年决算数减少66.96万元,下降34.68%,主要原因是</w:t>
      </w:r>
      <w:r>
        <w:rPr>
          <w:rFonts w:hint="eastAsia" w:ascii="仿宋_GB2312" w:hAnsi="仿宋_GB2312" w:eastAsia="仿宋_GB2312" w:cs="仿宋_GB2312"/>
          <w:color w:val="auto"/>
          <w:sz w:val="30"/>
          <w:szCs w:val="30"/>
          <w:lang w:val="en-US" w:eastAsia="zh-CN"/>
        </w:rPr>
        <w:t>严格</w:t>
      </w:r>
      <w:r>
        <w:rPr>
          <w:rFonts w:hint="eastAsia" w:ascii="仿宋_GB2312" w:hAnsi="仿宋_GB2312" w:eastAsia="仿宋_GB2312" w:cs="仿宋_GB2312"/>
          <w:color w:val="auto"/>
          <w:sz w:val="30"/>
          <w:szCs w:val="30"/>
          <w:lang w:val="zh-CN" w:eastAsia="zh-CN"/>
        </w:rPr>
        <w:t>落实过紧日子要求压减</w:t>
      </w:r>
      <w:r>
        <w:rPr>
          <w:rFonts w:hint="eastAsia" w:ascii="仿宋_GB2312" w:hAnsi="仿宋_GB2312" w:eastAsia="仿宋_GB2312" w:cs="仿宋_GB2312"/>
          <w:color w:val="auto"/>
          <w:sz w:val="30"/>
          <w:szCs w:val="30"/>
          <w:lang w:val="en-US" w:eastAsia="zh-CN"/>
        </w:rPr>
        <w:t>办公经费支出、会议费、培训费</w:t>
      </w:r>
      <w:r>
        <w:rPr>
          <w:rFonts w:hint="eastAsia" w:ascii="仿宋_GB2312" w:hAnsi="仿宋_GB2312" w:eastAsia="仿宋_GB2312" w:cs="仿宋_GB2312"/>
          <w:color w:val="auto"/>
          <w:sz w:val="30"/>
          <w:szCs w:val="30"/>
          <w:lang w:val="zh-CN" w:eastAsia="zh-CN"/>
        </w:rPr>
        <w:t>等。</w:t>
      </w:r>
    </w:p>
    <w:p w14:paraId="2D74DA1A">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default"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zh-CN" w:eastAsia="zh-CN"/>
        </w:rPr>
        <w:t>本年度会议费支出13.53万元,较上年决算数减少39.43万元,下降74.34%,主要原因是</w:t>
      </w:r>
      <w:r>
        <w:rPr>
          <w:rFonts w:hint="eastAsia" w:ascii="仿宋_GB2312" w:hAnsi="仿宋_GB2312" w:eastAsia="仿宋_GB2312" w:cs="仿宋_GB2312"/>
          <w:color w:val="auto"/>
          <w:sz w:val="30"/>
          <w:szCs w:val="30"/>
          <w:lang w:val="en-US" w:eastAsia="zh-CN"/>
        </w:rPr>
        <w:t>上年度支出了</w:t>
      </w:r>
      <w:r>
        <w:rPr>
          <w:rFonts w:hint="default" w:ascii="仿宋_GB2312" w:hAnsi="仿宋_GB2312" w:eastAsia="仿宋_GB2312" w:cs="仿宋_GB2312"/>
          <w:color w:val="auto"/>
          <w:sz w:val="30"/>
          <w:szCs w:val="30"/>
          <w:lang w:val="en-US" w:eastAsia="zh-CN"/>
        </w:rPr>
        <w:t>华池县第十九届人民代表大会第</w:t>
      </w:r>
      <w:r>
        <w:rPr>
          <w:rFonts w:hint="eastAsia" w:ascii="仿宋_GB2312" w:hAnsi="仿宋_GB2312" w:eastAsia="仿宋_GB2312" w:cs="仿宋_GB2312"/>
          <w:color w:val="auto"/>
          <w:sz w:val="30"/>
          <w:szCs w:val="30"/>
          <w:lang w:val="en-US" w:eastAsia="zh-CN"/>
        </w:rPr>
        <w:t>一</w:t>
      </w:r>
      <w:r>
        <w:rPr>
          <w:rFonts w:hint="default" w:ascii="仿宋_GB2312" w:hAnsi="仿宋_GB2312" w:eastAsia="仿宋_GB2312" w:cs="仿宋_GB2312"/>
          <w:color w:val="auto"/>
          <w:sz w:val="30"/>
          <w:szCs w:val="30"/>
          <w:lang w:val="en-US" w:eastAsia="zh-CN"/>
        </w:rPr>
        <w:t>次会议经费</w:t>
      </w:r>
      <w:r>
        <w:rPr>
          <w:rFonts w:hint="eastAsia" w:ascii="仿宋_GB2312" w:hAnsi="仿宋_GB2312" w:eastAsia="仿宋_GB2312" w:cs="仿宋_GB2312"/>
          <w:color w:val="auto"/>
          <w:sz w:val="30"/>
          <w:szCs w:val="30"/>
          <w:lang w:val="zh-CN" w:eastAsia="zh-CN"/>
        </w:rPr>
        <w:t>。本年度培训费支出23.03万元,较上年决算数增加8.49万元,增长58.43%,主要原因是</w:t>
      </w:r>
      <w:r>
        <w:rPr>
          <w:rFonts w:hint="default" w:ascii="仿宋_GB2312" w:hAnsi="仿宋_GB2312" w:eastAsia="仿宋_GB2312" w:cs="仿宋_GB2312"/>
          <w:color w:val="auto"/>
          <w:sz w:val="30"/>
          <w:szCs w:val="30"/>
          <w:lang w:val="zh-CN" w:eastAsia="zh-CN"/>
        </w:rPr>
        <w:t>本年度</w:t>
      </w:r>
      <w:r>
        <w:rPr>
          <w:rFonts w:hint="default" w:ascii="仿宋_GB2312" w:hAnsi="仿宋_GB2312" w:eastAsia="仿宋_GB2312" w:cs="仿宋_GB2312"/>
          <w:color w:val="auto"/>
          <w:sz w:val="30"/>
          <w:szCs w:val="30"/>
          <w:lang w:val="en-US" w:eastAsia="zh-CN"/>
        </w:rPr>
        <w:t>支付人大代表履职能力提升培训班费用</w:t>
      </w:r>
      <w:r>
        <w:rPr>
          <w:rFonts w:hint="default" w:ascii="仿宋_GB2312" w:hAnsi="仿宋_GB2312" w:eastAsia="仿宋_GB2312" w:cs="仿宋_GB2312"/>
          <w:color w:val="auto"/>
          <w:sz w:val="30"/>
          <w:szCs w:val="30"/>
          <w:lang w:val="zh-CN" w:eastAsia="zh-CN"/>
        </w:rPr>
        <w:t>。</w:t>
      </w:r>
    </w:p>
    <w:p w14:paraId="54DFF6CD">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十一、政府采购支出情况说明</w:t>
      </w:r>
    </w:p>
    <w:p w14:paraId="072DCCD6">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zh-CN" w:eastAsia="zh-CN"/>
        </w:rPr>
        <w:t>2023年度本部门政府采购支出合计18.76万元,其中：政府采购货物支出12.41万元、政府采购服务支出6.35万元。授予中小企业合同金额18.76万元,占政府采购支出总额的100.00%,其中：授予小微企业合同金额18.76万元,占政府采购支出总额的100.00%。</w:t>
      </w:r>
    </w:p>
    <w:p w14:paraId="74DDE9D6">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en-US" w:eastAsia="zh-CN"/>
        </w:rPr>
        <w:t>十二</w:t>
      </w:r>
      <w:r>
        <w:rPr>
          <w:rFonts w:hint="eastAsia" w:ascii="黑体" w:hAnsi="黑体" w:eastAsia="黑体" w:cs="黑体"/>
          <w:sz w:val="30"/>
          <w:szCs w:val="30"/>
          <w:lang w:val="zh-CN" w:eastAsia="zh-CN"/>
        </w:rPr>
        <w:t>、国有资产占用情况说明</w:t>
      </w:r>
    </w:p>
    <w:p w14:paraId="44E68C22">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zh-CN" w:eastAsia="zh-CN"/>
        </w:rPr>
        <w:t>截至2023年12月31日,本部门共有车辆1辆,其中,主要领导干部用车1辆。单价100万元(含)以上设备</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eastAsia="zh-CN"/>
        </w:rPr>
        <w:t>台(套)。</w:t>
      </w:r>
    </w:p>
    <w:p w14:paraId="0387C02B">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十三、其他需要说明的情况</w:t>
      </w:r>
    </w:p>
    <w:p w14:paraId="07EE8353">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宋体" w:hAnsi="宋体"/>
          <w:color w:val="auto"/>
          <w:sz w:val="24"/>
          <w:szCs w:val="24"/>
          <w:lang w:val="zh-CN"/>
        </w:rPr>
      </w:pPr>
      <w:r>
        <w:rPr>
          <w:rFonts w:hint="eastAsia" w:ascii="仿宋_GB2312" w:hAnsi="仿宋_GB2312" w:eastAsia="仿宋_GB2312" w:cs="仿宋_GB2312"/>
          <w:color w:val="auto"/>
          <w:sz w:val="30"/>
          <w:szCs w:val="30"/>
          <w:lang w:val="zh-CN" w:eastAsia="zh-CN"/>
        </w:rPr>
        <w:t>由于决算公开表格中金额数值应当保留两位小数，公开数据为四舍五入计算结果，个别数据合计项与分项之和存在小数点后差额，特此说明。</w:t>
      </w:r>
    </w:p>
    <w:p w14:paraId="4A39614D">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黑体" w:hAnsi="黑体" w:eastAsia="黑体" w:cs="黑体"/>
          <w:b w:val="0"/>
          <w:bCs/>
          <w:sz w:val="32"/>
          <w:szCs w:val="32"/>
          <w:lang w:val="zh-CN" w:eastAsia="zh-CN"/>
        </w:rPr>
      </w:pPr>
    </w:p>
    <w:p w14:paraId="5C23B23D">
      <w:pPr>
        <w:keepNext w:val="0"/>
        <w:keepLines/>
        <w:pageBreakBefore w:val="0"/>
        <w:widowControl w:val="0"/>
        <w:kinsoku/>
        <w:wordWrap/>
        <w:overflowPunct/>
        <w:topLinePunct w:val="0"/>
        <w:autoSpaceDE/>
        <w:autoSpaceDN/>
        <w:bidi w:val="0"/>
        <w:adjustRightInd/>
        <w:snapToGrid/>
        <w:spacing w:beforeLines="0" w:afterLines="0" w:line="560" w:lineRule="exact"/>
        <w:ind w:firstLine="640" w:firstLineChars="200"/>
        <w:jc w:val="center"/>
        <w:textAlignment w:val="auto"/>
        <w:rPr>
          <w:rFonts w:hint="eastAsia" w:ascii="黑体" w:hAnsi="黑体" w:eastAsia="黑体" w:cs="黑体"/>
          <w:b w:val="0"/>
          <w:bCs/>
          <w:sz w:val="32"/>
          <w:szCs w:val="32"/>
          <w:lang w:val="zh-CN" w:eastAsia="zh-CN"/>
        </w:rPr>
      </w:pPr>
      <w:r>
        <w:rPr>
          <w:rFonts w:hint="eastAsia" w:ascii="黑体" w:hAnsi="黑体" w:eastAsia="黑体" w:cs="黑体"/>
          <w:b w:val="0"/>
          <w:bCs/>
          <w:sz w:val="32"/>
          <w:szCs w:val="32"/>
          <w:lang w:val="zh-CN" w:eastAsia="zh-CN"/>
        </w:rPr>
        <w:t>第四部分</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val="zh-CN" w:eastAsia="zh-CN"/>
        </w:rPr>
        <w:t>预算绩效情况说明</w:t>
      </w:r>
    </w:p>
    <w:p w14:paraId="32883112">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一、预算绩效管理工作开展情况</w:t>
      </w:r>
    </w:p>
    <w:p w14:paraId="460D5E10">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auto"/>
          <w:kern w:val="2"/>
          <w:sz w:val="30"/>
          <w:szCs w:val="30"/>
          <w:lang w:val="zh-CN" w:eastAsia="zh-CN"/>
        </w:rPr>
      </w:pPr>
      <w:r>
        <w:rPr>
          <w:rFonts w:hint="eastAsia" w:ascii="仿宋_GB2312" w:hAnsi="仿宋_GB2312" w:eastAsia="仿宋_GB2312" w:cs="仿宋_GB2312"/>
          <w:color w:val="auto"/>
          <w:sz w:val="30"/>
          <w:szCs w:val="30"/>
          <w:lang w:val="en-US" w:eastAsia="zh-CN"/>
        </w:rPr>
        <w:t>根据预算绩效管理要求,本部门对2023年度一般公共预算项目支出全面开展绩效自评,共涉及资金632.95万元,占一般公共预算项目支出总额的100.00%。本部门无政府性基金预算项目和国有资本经营预算项目。</w:t>
      </w:r>
      <w:r>
        <w:rPr>
          <w:rFonts w:hint="eastAsia" w:ascii="仿宋_GB2312" w:hAnsi="仿宋_GB2312" w:eastAsia="仿宋_GB2312" w:cs="仿宋_GB2312"/>
          <w:b/>
          <w:bCs/>
          <w:color w:val="auto"/>
          <w:kern w:val="2"/>
          <w:sz w:val="30"/>
          <w:szCs w:val="30"/>
          <w:lang w:val="zh-CN" w:eastAsia="zh-CN"/>
        </w:rPr>
        <w:t>1.绩效自评目的</w:t>
      </w:r>
      <w:r>
        <w:rPr>
          <w:rFonts w:hint="eastAsia" w:ascii="仿宋_GB2312" w:hAnsi="仿宋_GB2312" w:eastAsia="仿宋_GB2312" w:cs="仿宋_GB2312"/>
          <w:color w:val="auto"/>
          <w:kern w:val="2"/>
          <w:sz w:val="30"/>
          <w:szCs w:val="30"/>
          <w:lang w:val="zh-CN" w:eastAsia="zh-CN"/>
        </w:rPr>
        <w:t>根据评价内容，运用科学、规范、合理的评价方法、评价指标体系和评价标准，全面、真实、客观的对本部门预算执行情况以及部门履职效果进行综合评价。为以后年度的强化预算编制、优化财政支出结构、提高财政资金使用效益、保障部门履行职责提供决策参考和依据。</w:t>
      </w:r>
      <w:r>
        <w:rPr>
          <w:rFonts w:hint="eastAsia" w:ascii="仿宋_GB2312" w:hAnsi="仿宋_GB2312" w:eastAsia="仿宋_GB2312" w:cs="仿宋_GB2312"/>
          <w:b/>
          <w:bCs/>
          <w:color w:val="auto"/>
          <w:kern w:val="2"/>
          <w:sz w:val="30"/>
          <w:szCs w:val="30"/>
          <w:lang w:val="zh-CN" w:eastAsia="zh-CN"/>
        </w:rPr>
        <w:t>2.评价内容</w:t>
      </w:r>
      <w:r>
        <w:rPr>
          <w:rFonts w:hint="eastAsia" w:ascii="仿宋_GB2312" w:hAnsi="仿宋_GB2312" w:eastAsia="仿宋_GB2312" w:cs="仿宋_GB2312"/>
          <w:color w:val="auto"/>
          <w:kern w:val="2"/>
          <w:sz w:val="30"/>
          <w:szCs w:val="30"/>
          <w:lang w:val="zh-CN" w:eastAsia="zh-CN"/>
        </w:rPr>
        <w:t>部门预算执行情况</w:t>
      </w:r>
      <w:r>
        <w:rPr>
          <w:rFonts w:hint="eastAsia" w:ascii="仿宋_GB2312" w:hAnsi="仿宋_GB2312" w:eastAsia="仿宋_GB2312" w:cs="仿宋_GB2312"/>
          <w:b/>
          <w:bCs/>
          <w:color w:val="auto"/>
          <w:kern w:val="2"/>
          <w:sz w:val="30"/>
          <w:szCs w:val="30"/>
          <w:lang w:val="zh-CN" w:eastAsia="zh-CN"/>
        </w:rPr>
        <w:t>人员经费</w:t>
      </w:r>
      <w:r>
        <w:rPr>
          <w:rFonts w:hint="eastAsia" w:ascii="仿宋_GB2312" w:hAnsi="仿宋_GB2312" w:eastAsia="仿宋_GB2312" w:cs="仿宋_GB2312"/>
          <w:color w:val="auto"/>
          <w:kern w:val="2"/>
          <w:sz w:val="30"/>
          <w:szCs w:val="30"/>
          <w:lang w:val="zh-CN" w:eastAsia="zh-CN"/>
        </w:rPr>
        <w:t>：基本工资、津贴补贴、奖金、</w:t>
      </w:r>
      <w:r>
        <w:rPr>
          <w:rFonts w:hint="eastAsia" w:ascii="仿宋_GB2312" w:hAnsi="仿宋_GB2312" w:eastAsia="仿宋_GB2312" w:cs="仿宋_GB2312"/>
          <w:color w:val="auto"/>
          <w:kern w:val="2"/>
          <w:sz w:val="30"/>
          <w:szCs w:val="30"/>
          <w:lang w:val="en-US" w:eastAsia="zh-CN"/>
        </w:rPr>
        <w:t>机关事业单位基本</w:t>
      </w:r>
      <w:r>
        <w:rPr>
          <w:rFonts w:hint="eastAsia" w:ascii="仿宋_GB2312" w:hAnsi="仿宋_GB2312" w:eastAsia="仿宋_GB2312" w:cs="仿宋_GB2312"/>
          <w:color w:val="auto"/>
          <w:kern w:val="2"/>
          <w:sz w:val="30"/>
          <w:szCs w:val="30"/>
          <w:lang w:val="zh-CN" w:eastAsia="zh-CN"/>
        </w:rPr>
        <w:t>养老保险、医疗保险、其他社会保障缴费、生活补助等预算金额</w:t>
      </w:r>
      <w:r>
        <w:rPr>
          <w:rFonts w:hint="eastAsia" w:ascii="仿宋_GB2312" w:hAnsi="仿宋_GB2312" w:eastAsia="仿宋_GB2312" w:cs="仿宋_GB2312"/>
          <w:color w:val="auto"/>
          <w:kern w:val="2"/>
          <w:sz w:val="30"/>
          <w:szCs w:val="30"/>
          <w:lang w:val="en-US" w:eastAsia="zh-CN"/>
        </w:rPr>
        <w:t>506.85</w:t>
      </w:r>
      <w:r>
        <w:rPr>
          <w:rFonts w:hint="eastAsia" w:ascii="仿宋_GB2312" w:hAnsi="仿宋_GB2312" w:eastAsia="仿宋_GB2312" w:cs="仿宋_GB2312"/>
          <w:color w:val="auto"/>
          <w:kern w:val="2"/>
          <w:sz w:val="30"/>
          <w:szCs w:val="30"/>
          <w:lang w:val="zh-CN" w:eastAsia="zh-CN"/>
        </w:rPr>
        <w:t>万元，财政拨款</w:t>
      </w:r>
      <w:r>
        <w:rPr>
          <w:rFonts w:hint="eastAsia" w:ascii="仿宋_GB2312" w:hAnsi="仿宋_GB2312" w:eastAsia="仿宋_GB2312" w:cs="仿宋_GB2312"/>
          <w:color w:val="auto"/>
          <w:kern w:val="2"/>
          <w:sz w:val="30"/>
          <w:szCs w:val="30"/>
          <w:lang w:val="en-US" w:eastAsia="zh-CN"/>
        </w:rPr>
        <w:t>506.85</w:t>
      </w:r>
      <w:r>
        <w:rPr>
          <w:rFonts w:hint="eastAsia" w:ascii="仿宋_GB2312" w:hAnsi="仿宋_GB2312" w:eastAsia="仿宋_GB2312" w:cs="仿宋_GB2312"/>
          <w:color w:val="auto"/>
          <w:kern w:val="2"/>
          <w:sz w:val="30"/>
          <w:szCs w:val="30"/>
          <w:lang w:val="zh-CN" w:eastAsia="zh-CN"/>
        </w:rPr>
        <w:t>万元；</w:t>
      </w:r>
      <w:r>
        <w:rPr>
          <w:rFonts w:hint="eastAsia" w:ascii="仿宋_GB2312" w:hAnsi="仿宋_GB2312" w:eastAsia="仿宋_GB2312" w:cs="仿宋_GB2312"/>
          <w:b/>
          <w:bCs/>
          <w:color w:val="auto"/>
          <w:kern w:val="2"/>
          <w:sz w:val="30"/>
          <w:szCs w:val="30"/>
          <w:lang w:val="zh-CN" w:eastAsia="zh-CN"/>
        </w:rPr>
        <w:t>公用经费</w:t>
      </w:r>
      <w:r>
        <w:rPr>
          <w:rFonts w:hint="eastAsia" w:ascii="仿宋_GB2312" w:hAnsi="仿宋_GB2312" w:eastAsia="仿宋_GB2312" w:cs="仿宋_GB2312"/>
          <w:color w:val="auto"/>
          <w:kern w:val="2"/>
          <w:sz w:val="30"/>
          <w:szCs w:val="30"/>
          <w:lang w:val="zh-CN" w:eastAsia="zh-CN"/>
        </w:rPr>
        <w:t>：办公费、</w:t>
      </w:r>
      <w:r>
        <w:rPr>
          <w:rFonts w:hint="eastAsia" w:ascii="仿宋_GB2312" w:hAnsi="仿宋_GB2312" w:eastAsia="仿宋_GB2312" w:cs="仿宋_GB2312"/>
          <w:color w:val="auto"/>
          <w:kern w:val="2"/>
          <w:sz w:val="30"/>
          <w:szCs w:val="30"/>
          <w:lang w:val="en-US" w:eastAsia="zh-CN"/>
        </w:rPr>
        <w:t>印刷费、水费、电费、邮电费、物业管理费、</w:t>
      </w:r>
      <w:r>
        <w:rPr>
          <w:rFonts w:hint="eastAsia" w:ascii="仿宋_GB2312" w:hAnsi="仿宋_GB2312" w:eastAsia="仿宋_GB2312" w:cs="仿宋_GB2312"/>
          <w:color w:val="auto"/>
          <w:kern w:val="2"/>
          <w:sz w:val="30"/>
          <w:szCs w:val="30"/>
          <w:lang w:val="zh-CN" w:eastAsia="zh-CN"/>
        </w:rPr>
        <w:t>差旅费、</w:t>
      </w:r>
      <w:r>
        <w:rPr>
          <w:rFonts w:hint="eastAsia" w:ascii="仿宋_GB2312" w:hAnsi="仿宋_GB2312" w:eastAsia="仿宋_GB2312" w:cs="仿宋_GB2312"/>
          <w:color w:val="auto"/>
          <w:kern w:val="2"/>
          <w:sz w:val="30"/>
          <w:szCs w:val="30"/>
          <w:lang w:val="en-US" w:eastAsia="zh-CN"/>
        </w:rPr>
        <w:t>维修（护）费、会议费、培训费、公务接待费、劳务费、</w:t>
      </w:r>
      <w:r>
        <w:rPr>
          <w:rFonts w:hint="eastAsia" w:ascii="仿宋_GB2312" w:hAnsi="仿宋_GB2312" w:eastAsia="仿宋_GB2312" w:cs="仿宋_GB2312"/>
          <w:color w:val="auto"/>
          <w:kern w:val="2"/>
          <w:sz w:val="30"/>
          <w:szCs w:val="30"/>
          <w:lang w:val="zh-CN" w:eastAsia="zh-CN"/>
        </w:rPr>
        <w:t>工会经费、福利费、</w:t>
      </w:r>
      <w:r>
        <w:rPr>
          <w:rFonts w:hint="eastAsia" w:ascii="仿宋_GB2312" w:hAnsi="仿宋_GB2312" w:eastAsia="仿宋_GB2312" w:cs="仿宋_GB2312"/>
          <w:color w:val="auto"/>
          <w:kern w:val="2"/>
          <w:sz w:val="30"/>
          <w:szCs w:val="30"/>
          <w:lang w:val="en-US" w:eastAsia="zh-CN"/>
        </w:rPr>
        <w:t>公务用车运行维护费、</w:t>
      </w:r>
      <w:r>
        <w:rPr>
          <w:rFonts w:hint="eastAsia" w:ascii="仿宋_GB2312" w:hAnsi="仿宋_GB2312" w:eastAsia="仿宋_GB2312" w:cs="仿宋_GB2312"/>
          <w:color w:val="auto"/>
          <w:kern w:val="2"/>
          <w:sz w:val="30"/>
          <w:szCs w:val="30"/>
          <w:lang w:val="zh-CN" w:eastAsia="zh-CN"/>
        </w:rPr>
        <w:t>其他交通费</w:t>
      </w:r>
      <w:r>
        <w:rPr>
          <w:rFonts w:hint="eastAsia" w:ascii="仿宋_GB2312" w:hAnsi="仿宋_GB2312" w:eastAsia="仿宋_GB2312" w:cs="仿宋_GB2312"/>
          <w:color w:val="auto"/>
          <w:kern w:val="2"/>
          <w:sz w:val="30"/>
          <w:szCs w:val="30"/>
          <w:lang w:val="en-US" w:eastAsia="zh-CN"/>
        </w:rPr>
        <w:t>用、其他商品和服务支出</w:t>
      </w:r>
      <w:r>
        <w:rPr>
          <w:rFonts w:hint="eastAsia" w:ascii="仿宋_GB2312" w:hAnsi="仿宋_GB2312" w:eastAsia="仿宋_GB2312" w:cs="仿宋_GB2312"/>
          <w:color w:val="auto"/>
          <w:kern w:val="2"/>
          <w:sz w:val="30"/>
          <w:szCs w:val="30"/>
          <w:lang w:val="zh-CN" w:eastAsia="zh-CN"/>
        </w:rPr>
        <w:t>等预算金额</w:t>
      </w:r>
      <w:r>
        <w:rPr>
          <w:rFonts w:hint="eastAsia" w:ascii="仿宋_GB2312" w:hAnsi="仿宋_GB2312" w:eastAsia="仿宋_GB2312" w:cs="仿宋_GB2312"/>
          <w:color w:val="auto"/>
          <w:kern w:val="2"/>
          <w:sz w:val="30"/>
          <w:szCs w:val="30"/>
          <w:lang w:val="en-US" w:eastAsia="zh-CN"/>
        </w:rPr>
        <w:t>126.10</w:t>
      </w:r>
      <w:r>
        <w:rPr>
          <w:rFonts w:hint="eastAsia" w:ascii="仿宋_GB2312" w:hAnsi="仿宋_GB2312" w:eastAsia="仿宋_GB2312" w:cs="仿宋_GB2312"/>
          <w:color w:val="auto"/>
          <w:kern w:val="2"/>
          <w:sz w:val="30"/>
          <w:szCs w:val="30"/>
          <w:lang w:val="zh-CN" w:eastAsia="zh-CN"/>
        </w:rPr>
        <w:t>万元，财政拨款</w:t>
      </w:r>
      <w:r>
        <w:rPr>
          <w:rFonts w:hint="eastAsia" w:ascii="仿宋_GB2312" w:hAnsi="仿宋_GB2312" w:eastAsia="仿宋_GB2312" w:cs="仿宋_GB2312"/>
          <w:color w:val="auto"/>
          <w:kern w:val="2"/>
          <w:sz w:val="30"/>
          <w:szCs w:val="30"/>
          <w:lang w:val="en-US" w:eastAsia="zh-CN"/>
        </w:rPr>
        <w:t>126.10</w:t>
      </w:r>
      <w:r>
        <w:rPr>
          <w:rFonts w:hint="eastAsia" w:ascii="仿宋_GB2312" w:hAnsi="仿宋_GB2312" w:eastAsia="仿宋_GB2312" w:cs="仿宋_GB2312"/>
          <w:color w:val="auto"/>
          <w:kern w:val="2"/>
          <w:sz w:val="30"/>
          <w:szCs w:val="30"/>
          <w:lang w:val="zh-CN" w:eastAsia="zh-CN"/>
        </w:rPr>
        <w:t>万元。</w:t>
      </w:r>
    </w:p>
    <w:p w14:paraId="2C6CFC8E">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二、绩效自评结果</w:t>
      </w:r>
    </w:p>
    <w:p w14:paraId="51E4E1E2">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根据年初设定的绩效目标，县人大主动聚焦主责主业，多措并举，全方位提升了代表履职能力，推动法治华池建设，规范推进人事任免工作，全流程抓好意见建议督办，全覆盖搭建代表履职平台，进一步提升了人大工作整体水平。结合全年工作开展情况和预算绩效管理要求，全面完成了年度工作任务，全年部门整体支出预算数为632.95万元，执行数为632.95万元，均为基本支出，完成预算的100%，绩效自评得分为100分。</w:t>
      </w:r>
    </w:p>
    <w:p w14:paraId="1D3E52F2">
      <w:pPr>
        <w:pageBreakBefore w:val="0"/>
        <w:widowControl/>
        <w:kinsoku/>
        <w:wordWrap/>
        <w:overflowPunct/>
        <w:topLinePunct w:val="0"/>
        <w:autoSpaceDE/>
        <w:autoSpaceDN/>
        <w:bidi w:val="0"/>
        <w:adjustRightInd/>
        <w:snapToGrid/>
        <w:spacing w:before="100" w:beforeLines="0" w:after="100" w:afterLines="0" w:line="560" w:lineRule="exact"/>
        <w:ind w:firstLine="600" w:firstLineChars="200"/>
        <w:jc w:val="left"/>
        <w:textAlignment w:val="auto"/>
        <w:rPr>
          <w:rFonts w:hint="eastAsia" w:ascii="黑体" w:hAnsi="黑体" w:eastAsia="黑体" w:cs="黑体"/>
          <w:sz w:val="30"/>
          <w:szCs w:val="30"/>
          <w:lang w:val="zh-CN" w:eastAsia="zh-CN"/>
        </w:rPr>
      </w:pPr>
      <w:r>
        <w:rPr>
          <w:rFonts w:hint="eastAsia" w:ascii="黑体" w:hAnsi="黑体" w:eastAsia="黑体" w:cs="黑体"/>
          <w:sz w:val="30"/>
          <w:szCs w:val="30"/>
          <w:lang w:val="zh-CN" w:eastAsia="zh-CN"/>
        </w:rPr>
        <w:t>三、部门绩效评价结果</w:t>
      </w:r>
    </w:p>
    <w:p w14:paraId="7A9C8721">
      <w:pPr>
        <w:pStyle w:val="2"/>
        <w:ind w:left="0" w:leftChars="0" w:firstLine="600" w:firstLineChars="200"/>
        <w:rPr>
          <w:rFonts w:hint="eastAsia" w:ascii="仿宋_GB2312" w:hAnsi="仿宋_GB2312" w:eastAsia="仿宋_GB2312" w:cs="仿宋_GB2312"/>
          <w:color w:val="auto"/>
          <w:kern w:val="2"/>
          <w:sz w:val="30"/>
          <w:szCs w:val="30"/>
          <w:lang w:val="zh-CN" w:eastAsia="zh-CN"/>
        </w:rPr>
      </w:pPr>
      <w:r>
        <w:rPr>
          <w:rFonts w:hint="eastAsia" w:ascii="仿宋_GB2312" w:hAnsi="仿宋_GB2312" w:eastAsia="仿宋_GB2312" w:cs="仿宋_GB2312"/>
          <w:color w:val="auto"/>
          <w:kern w:val="2"/>
          <w:sz w:val="30"/>
          <w:szCs w:val="30"/>
          <w:lang w:val="zh-CN" w:eastAsia="zh-CN"/>
        </w:rPr>
        <w:t>202</w:t>
      </w:r>
      <w:r>
        <w:rPr>
          <w:rFonts w:hint="eastAsia" w:ascii="仿宋_GB2312" w:hAnsi="仿宋_GB2312" w:eastAsia="仿宋_GB2312" w:cs="仿宋_GB2312"/>
          <w:color w:val="auto"/>
          <w:kern w:val="2"/>
          <w:sz w:val="30"/>
          <w:szCs w:val="30"/>
          <w:lang w:val="en-US" w:eastAsia="zh-CN"/>
        </w:rPr>
        <w:t>3</w:t>
      </w:r>
      <w:r>
        <w:rPr>
          <w:rFonts w:hint="eastAsia" w:ascii="仿宋_GB2312" w:hAnsi="仿宋_GB2312" w:eastAsia="仿宋_GB2312" w:cs="仿宋_GB2312"/>
          <w:color w:val="auto"/>
          <w:kern w:val="2"/>
          <w:sz w:val="30"/>
          <w:szCs w:val="30"/>
          <w:lang w:val="zh-CN" w:eastAsia="zh-CN"/>
        </w:rPr>
        <w:t>年，我单位纳入预算绩效管理资金</w:t>
      </w:r>
      <w:r>
        <w:rPr>
          <w:rFonts w:hint="eastAsia" w:ascii="仿宋_GB2312" w:hAnsi="仿宋_GB2312" w:eastAsia="仿宋_GB2312" w:cs="仿宋_GB2312"/>
          <w:color w:val="auto"/>
          <w:sz w:val="30"/>
          <w:szCs w:val="30"/>
          <w:lang w:val="en-US" w:eastAsia="zh-CN"/>
        </w:rPr>
        <w:t>632.95万元</w:t>
      </w:r>
      <w:r>
        <w:rPr>
          <w:rFonts w:hint="eastAsia" w:ascii="仿宋_GB2312" w:hAnsi="仿宋_GB2312" w:eastAsia="仿宋_GB2312" w:cs="仿宋_GB2312"/>
          <w:color w:val="auto"/>
          <w:kern w:val="2"/>
          <w:sz w:val="30"/>
          <w:szCs w:val="30"/>
          <w:lang w:val="zh-CN" w:eastAsia="zh-CN"/>
        </w:rPr>
        <w:t>，其中项目绩效资金0元。全年执行数为</w:t>
      </w:r>
      <w:r>
        <w:rPr>
          <w:rFonts w:hint="eastAsia" w:ascii="仿宋_GB2312" w:hAnsi="仿宋_GB2312" w:eastAsia="仿宋_GB2312" w:cs="仿宋_GB2312"/>
          <w:color w:val="auto"/>
          <w:sz w:val="30"/>
          <w:szCs w:val="30"/>
          <w:lang w:val="en-US" w:eastAsia="zh-CN"/>
        </w:rPr>
        <w:t>632.95万元</w:t>
      </w:r>
      <w:r>
        <w:rPr>
          <w:rFonts w:hint="eastAsia" w:ascii="仿宋_GB2312" w:hAnsi="仿宋_GB2312" w:eastAsia="仿宋_GB2312" w:cs="仿宋_GB2312"/>
          <w:color w:val="auto"/>
          <w:kern w:val="2"/>
          <w:sz w:val="30"/>
          <w:szCs w:val="30"/>
          <w:lang w:val="zh-CN" w:eastAsia="zh-CN"/>
        </w:rPr>
        <w:t>，均为基本支出，执行率为100%。在预算执行工作中，我单位能够认真贯彻中央和省、市、县有关文件精神，积极推进预算绩效管理工作，进一步健全财务管理制度，严格按照绩效目标的各项指标执行，做到会计核算符合相关规定、资金专款专用、资金支付依据和开支标准合法合规，提高财政资金使用效益和科学精细化管理水平，保证预算绩效工作有效开展，使人大工作服从服务全县工作大局更加有力，密切联系群众更加有为。</w:t>
      </w:r>
    </w:p>
    <w:p w14:paraId="5769FD5E">
      <w:pPr>
        <w:pStyle w:val="2"/>
        <w:ind w:left="0" w:leftChars="0" w:firstLine="600" w:firstLineChars="200"/>
        <w:rPr>
          <w:rFonts w:hint="eastAsia" w:ascii="仿宋_GB2312" w:hAnsi="仿宋_GB2312" w:eastAsia="仿宋_GB2312" w:cs="仿宋_GB2312"/>
          <w:color w:val="auto"/>
          <w:kern w:val="2"/>
          <w:sz w:val="30"/>
          <w:szCs w:val="30"/>
          <w:lang w:val="zh-CN" w:eastAsia="zh-CN"/>
        </w:rPr>
      </w:pPr>
    </w:p>
    <w:p w14:paraId="4CA0526D">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center"/>
        <w:textAlignment w:val="auto"/>
        <w:rPr>
          <w:rFonts w:hint="eastAsia" w:ascii="黑体" w:hAnsi="黑体" w:eastAsia="黑体" w:cs="黑体"/>
          <w:b w:val="0"/>
          <w:bCs/>
          <w:sz w:val="32"/>
          <w:szCs w:val="32"/>
          <w:lang w:val="zh-CN" w:eastAsia="zh-CN"/>
        </w:rPr>
      </w:pPr>
      <w:r>
        <w:rPr>
          <w:rFonts w:hint="eastAsia" w:ascii="黑体" w:hAnsi="黑体" w:eastAsia="黑体" w:cs="黑体"/>
          <w:b w:val="0"/>
          <w:bCs/>
          <w:sz w:val="32"/>
          <w:szCs w:val="32"/>
          <w:lang w:val="zh-CN" w:eastAsia="zh-CN"/>
        </w:rPr>
        <w:t>第五部分</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val="zh-CN" w:eastAsia="zh-CN"/>
        </w:rPr>
        <w:t>名词解释</w:t>
      </w:r>
    </w:p>
    <w:p w14:paraId="1C265187">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一、财政拨款收入：</w:t>
      </w:r>
      <w:r>
        <w:rPr>
          <w:rFonts w:hint="eastAsia" w:ascii="仿宋_GB2312" w:hAnsi="仿宋_GB2312" w:eastAsia="仿宋_GB2312" w:cs="仿宋_GB2312"/>
          <w:color w:val="auto"/>
          <w:sz w:val="30"/>
          <w:szCs w:val="30"/>
          <w:lang w:val="zh-CN" w:eastAsia="zh-CN"/>
        </w:rPr>
        <w:t>指本年度从同级财政部门取得的财政拨款,包括一般公共预算财政拨款、政府性基金预算财政拨款和国有资本经营预算财政拨款。</w:t>
      </w:r>
    </w:p>
    <w:p w14:paraId="380BC29E">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二、事业收入：</w:t>
      </w:r>
      <w:r>
        <w:rPr>
          <w:rFonts w:hint="eastAsia" w:ascii="仿宋_GB2312" w:hAnsi="仿宋_GB2312" w:eastAsia="仿宋_GB2312" w:cs="仿宋_GB2312"/>
          <w:color w:val="auto"/>
          <w:sz w:val="30"/>
          <w:szCs w:val="30"/>
          <w:lang w:val="zh-CN" w:eastAsia="zh-CN"/>
        </w:rPr>
        <w:t>指事业单位开展专业业务活动及其辅助活动取得的收入。</w:t>
      </w:r>
    </w:p>
    <w:p w14:paraId="71F93008">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三、经营收入：</w:t>
      </w:r>
      <w:r>
        <w:rPr>
          <w:rFonts w:hint="eastAsia" w:ascii="仿宋_GB2312" w:hAnsi="仿宋_GB2312" w:eastAsia="仿宋_GB2312" w:cs="仿宋_GB2312"/>
          <w:color w:val="auto"/>
          <w:sz w:val="30"/>
          <w:szCs w:val="30"/>
          <w:lang w:val="zh-CN" w:eastAsia="zh-CN"/>
        </w:rPr>
        <w:t>指事业单位在专业业务活动及其辅助活动之外开展非独立核算经营活动取得的收入。</w:t>
      </w:r>
    </w:p>
    <w:p w14:paraId="670208E9">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四、其他收入：</w:t>
      </w:r>
      <w:r>
        <w:rPr>
          <w:rFonts w:hint="eastAsia" w:ascii="仿宋_GB2312" w:hAnsi="仿宋_GB2312" w:eastAsia="仿宋_GB2312" w:cs="仿宋_GB2312"/>
          <w:color w:val="auto"/>
          <w:sz w:val="30"/>
          <w:szCs w:val="30"/>
          <w:lang w:val="zh-CN" w:eastAsia="zh-CN"/>
        </w:rPr>
        <w:t>指除上述“财政拨款收入”“事业收入”、“经营收入”以外的收入。</w:t>
      </w:r>
    </w:p>
    <w:p w14:paraId="79FD1F37">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五、使用非财政拨款结余（含专用结余）：</w:t>
      </w:r>
      <w:r>
        <w:rPr>
          <w:rFonts w:hint="eastAsia" w:ascii="仿宋_GB2312" w:hAnsi="仿宋_GB2312" w:eastAsia="仿宋_GB2312" w:cs="仿宋_GB2312"/>
          <w:color w:val="auto"/>
          <w:sz w:val="30"/>
          <w:szCs w:val="30"/>
          <w:lang w:val="zh-CN" w:eastAsia="zh-CN"/>
        </w:rPr>
        <w:t>指事业单位按照预算管理要求使用非财政拨款结余弥补收支差额的金额，以及使用专用结余安排支出的金额。</w:t>
      </w:r>
    </w:p>
    <w:p w14:paraId="1CFCFD16">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六、年初结转和结余：</w:t>
      </w:r>
      <w:r>
        <w:rPr>
          <w:rFonts w:hint="eastAsia" w:ascii="仿宋_GB2312" w:hAnsi="仿宋_GB2312" w:eastAsia="仿宋_GB2312" w:cs="仿宋_GB2312"/>
          <w:color w:val="auto"/>
          <w:sz w:val="30"/>
          <w:szCs w:val="30"/>
          <w:lang w:val="zh-CN" w:eastAsia="zh-CN"/>
        </w:rPr>
        <w:t>指单位上年结转至本年使用的基本支出结转、项目支出结转和结余、经营结余。</w:t>
      </w:r>
    </w:p>
    <w:p w14:paraId="724CD50E">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七、结余分配：</w:t>
      </w:r>
      <w:r>
        <w:rPr>
          <w:rFonts w:hint="eastAsia" w:ascii="仿宋_GB2312" w:hAnsi="仿宋_GB2312" w:eastAsia="仿宋_GB2312" w:cs="仿宋_GB2312"/>
          <w:color w:val="auto"/>
          <w:sz w:val="30"/>
          <w:szCs w:val="30"/>
          <w:lang w:val="zh-CN" w:eastAsia="zh-CN"/>
        </w:rPr>
        <w:t>指单位按照会计制度规定缴纳的所得税、提取的专用结余以及转入非财政拨款结余的金额等。</w:t>
      </w:r>
    </w:p>
    <w:p w14:paraId="33B457DA">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八、年末结转和结余：</w:t>
      </w:r>
      <w:r>
        <w:rPr>
          <w:rFonts w:hint="eastAsia" w:ascii="仿宋_GB2312" w:hAnsi="仿宋_GB2312" w:eastAsia="仿宋_GB2312" w:cs="仿宋_GB2312"/>
          <w:color w:val="auto"/>
          <w:sz w:val="30"/>
          <w:szCs w:val="30"/>
          <w:lang w:val="zh-CN" w:eastAsia="zh-CN"/>
        </w:rPr>
        <w:t>指单位按有关规定结转到下年的基本支出结转、项目支出结转和结余、经营结余。</w:t>
      </w:r>
    </w:p>
    <w:p w14:paraId="60E73BF4">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九、基本支出：</w:t>
      </w:r>
      <w:r>
        <w:rPr>
          <w:rFonts w:hint="eastAsia" w:ascii="仿宋_GB2312" w:hAnsi="仿宋_GB2312" w:eastAsia="仿宋_GB2312" w:cs="仿宋_GB2312"/>
          <w:color w:val="auto"/>
          <w:sz w:val="30"/>
          <w:szCs w:val="30"/>
          <w:lang w:val="zh-CN" w:eastAsia="zh-CN"/>
        </w:rPr>
        <w:t>指为保障机构正常运转、完成日常工作任务而发生的人员经费和公用经费。</w:t>
      </w:r>
    </w:p>
    <w:p w14:paraId="6E0FDE83">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十、项目支出：</w:t>
      </w:r>
      <w:r>
        <w:rPr>
          <w:rFonts w:hint="eastAsia" w:ascii="仿宋_GB2312" w:hAnsi="仿宋_GB2312" w:eastAsia="仿宋_GB2312" w:cs="仿宋_GB2312"/>
          <w:color w:val="auto"/>
          <w:sz w:val="30"/>
          <w:szCs w:val="30"/>
          <w:lang w:val="zh-CN" w:eastAsia="zh-CN"/>
        </w:rPr>
        <w:t>指在基本支出之外为完成特定行政任务或事业发展目标所发生的支出。</w:t>
      </w:r>
    </w:p>
    <w:p w14:paraId="573C6230">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十一、经营支出：</w:t>
      </w:r>
      <w:r>
        <w:rPr>
          <w:rFonts w:hint="eastAsia" w:ascii="仿宋_GB2312" w:hAnsi="仿宋_GB2312" w:eastAsia="仿宋_GB2312" w:cs="仿宋_GB2312"/>
          <w:color w:val="auto"/>
          <w:sz w:val="30"/>
          <w:szCs w:val="30"/>
          <w:lang w:val="zh-CN" w:eastAsia="zh-CN"/>
        </w:rPr>
        <w:t>指事业单位在专业业务活动及其辅助活动之外开展非独立核算经营活动发生的支出。</w:t>
      </w:r>
    </w:p>
    <w:p w14:paraId="6B8F3FAE">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十二、“三公”经费：</w:t>
      </w:r>
      <w:r>
        <w:rPr>
          <w:rFonts w:hint="eastAsia" w:ascii="仿宋_GB2312" w:hAnsi="仿宋_GB2312" w:eastAsia="仿宋_GB2312" w:cs="仿宋_GB2312"/>
          <w:color w:val="auto"/>
          <w:sz w:val="30"/>
          <w:szCs w:val="30"/>
          <w:lang w:val="zh-CN" w:eastAsia="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EA0153F">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color w:val="auto"/>
          <w:sz w:val="30"/>
          <w:szCs w:val="30"/>
          <w:lang w:val="zh-CN" w:eastAsia="zh-CN"/>
        </w:rPr>
      </w:pPr>
      <w:r>
        <w:rPr>
          <w:rFonts w:hint="eastAsia" w:ascii="楷体_GB2312" w:hAnsi="楷体_GB2312" w:eastAsia="楷体_GB2312" w:cs="楷体_GB2312"/>
          <w:b/>
          <w:bCs/>
          <w:color w:val="auto"/>
          <w:sz w:val="30"/>
          <w:szCs w:val="30"/>
          <w:lang w:val="zh-CN" w:eastAsia="zh-CN"/>
        </w:rPr>
        <w:t>十三、机关运行经费：</w:t>
      </w:r>
      <w:r>
        <w:rPr>
          <w:rFonts w:hint="eastAsia" w:ascii="仿宋_GB2312" w:hAnsi="仿宋_GB2312" w:eastAsia="仿宋_GB2312" w:cs="仿宋_GB2312"/>
          <w:color w:val="auto"/>
          <w:sz w:val="30"/>
          <w:szCs w:val="30"/>
          <w:lang w:val="zh-CN" w:eastAsia="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32C2A0B">
      <w:pPr>
        <w:pStyle w:val="2"/>
        <w:rPr>
          <w:rFonts w:hint="eastAsia" w:ascii="仿宋_GB2312" w:hAnsi="仿宋_GB2312" w:eastAsia="仿宋_GB2312" w:cs="仿宋_GB2312"/>
          <w:color w:val="auto"/>
          <w:sz w:val="30"/>
          <w:szCs w:val="30"/>
          <w:lang w:val="zh-CN" w:eastAsia="zh-CN"/>
        </w:rPr>
      </w:pPr>
    </w:p>
    <w:p w14:paraId="5B38C70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附件：</w:t>
      </w:r>
      <w:r>
        <w:rPr>
          <w:rFonts w:hint="eastAsia" w:ascii="仿宋_GB2312" w:hAnsi="仿宋_GB2312" w:eastAsia="仿宋_GB2312" w:cs="仿宋_GB2312"/>
          <w:sz w:val="32"/>
          <w:szCs w:val="32"/>
          <w:lang w:val="en-US" w:eastAsia="zh-CN"/>
        </w:rPr>
        <w:t>1.华池县人大常委会办公室整体支出绩效自评表</w:t>
      </w:r>
    </w:p>
    <w:p w14:paraId="6D5014C8">
      <w:pPr>
        <w:keepNext w:val="0"/>
        <w:keepLines w:val="0"/>
        <w:pageBreakBefore w:val="0"/>
        <w:widowControl w:val="0"/>
        <w:kinsoku/>
        <w:wordWrap/>
        <w:overflowPunct/>
        <w:topLinePunct w:val="0"/>
        <w:autoSpaceDE/>
        <w:autoSpaceDN/>
        <w:bidi w:val="0"/>
        <w:adjustRightInd/>
        <w:snapToGrid/>
        <w:spacing w:line="600" w:lineRule="exact"/>
        <w:ind w:left="2236" w:leftChars="760" w:hanging="640" w:hanging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2.华池县人大办关于2023年度单位整体支出绩效自评报告</w:t>
      </w:r>
    </w:p>
    <w:p w14:paraId="74D17B91">
      <w:pPr>
        <w:pStyle w:val="2"/>
        <w:rPr>
          <w:rFonts w:hint="eastAsia" w:ascii="仿宋_GB2312" w:hAnsi="仿宋_GB2312" w:eastAsia="仿宋_GB2312" w:cs="仿宋_GB2312"/>
          <w:color w:val="auto"/>
          <w:sz w:val="30"/>
          <w:szCs w:val="30"/>
          <w:lang w:val="zh-CN" w:eastAsia="zh-CN"/>
        </w:rPr>
      </w:pPr>
      <w:bookmarkStart w:id="0" w:name="_GoBack"/>
      <w:bookmarkEnd w:id="0"/>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4ODI2NTg0N2YxM2NhYzcxOTJkM2EwODJkOTIyYTMifQ=="/>
  </w:docVars>
  <w:rsids>
    <w:rsidRoot w:val="00000000"/>
    <w:rsid w:val="07B55397"/>
    <w:rsid w:val="12673CE8"/>
    <w:rsid w:val="1DF267D1"/>
    <w:rsid w:val="5B452CB9"/>
    <w:rsid w:val="6BB82F92"/>
    <w:rsid w:val="6C180835"/>
    <w:rsid w:val="7B705332"/>
    <w:rsid w:val="7B7F7FF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rPr>
      <w:rFonts w:ascii="Times New Roman" w:hAnsi="Times New Roman"/>
    </w:r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9.xml"/><Relationship Id="rId11" Type="http://schemas.openxmlformats.org/officeDocument/2006/relationships/customXml" Target="../customXml/item8.xml"/><Relationship Id="rId10" Type="http://schemas.openxmlformats.org/officeDocument/2006/relationships/customXml" Target="../customXml/item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2.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8394575b-aaf0-424c-a18b-e44868ffe26f}">
  <ds:schemaRefs/>
</ds:datastoreItem>
</file>

<file path=customXml/itemProps2.xml><?xml version="1.0" encoding="utf-8"?>
<ds:datastoreItem xmlns:ds="http://schemas.openxmlformats.org/officeDocument/2006/customXml" ds:itemID="{fe1709e6-18dd-4159-81db-bf4977c366db}">
  <ds:schemaRefs/>
</ds:datastoreItem>
</file>

<file path=customXml/itemProps3.xml><?xml version="1.0" encoding="utf-8"?>
<ds:datastoreItem xmlns:ds="http://schemas.openxmlformats.org/officeDocument/2006/customXml" ds:itemID="{b114f8b7-a22f-4ce6-8e3d-333f5f04ef5a}">
  <ds:schemaRefs/>
</ds:datastoreItem>
</file>

<file path=customXml/itemProps4.xml><?xml version="1.0" encoding="utf-8"?>
<ds:datastoreItem xmlns:ds="http://schemas.openxmlformats.org/officeDocument/2006/customXml" ds:itemID="{73e37623-bd0b-48d0-bafa-e091fa4287ca}">
  <ds:schemaRefs/>
</ds:datastoreItem>
</file>

<file path=customXml/itemProps5.xml><?xml version="1.0" encoding="utf-8"?>
<ds:datastoreItem xmlns:ds="http://schemas.openxmlformats.org/officeDocument/2006/customXml" ds:itemID="{7d86f640-0ece-481f-b82a-b8edeaea9a03}">
  <ds:schemaRefs/>
</ds:datastoreItem>
</file>

<file path=customXml/itemProps6.xml><?xml version="1.0" encoding="utf-8"?>
<ds:datastoreItem xmlns:ds="http://schemas.openxmlformats.org/officeDocument/2006/customXml" ds:itemID="{a6ed00dc-0c8a-4aad-84dd-ecd5da228307}">
  <ds:schemaRefs/>
</ds:datastoreItem>
</file>

<file path=customXml/itemProps7.xml><?xml version="1.0" encoding="utf-8"?>
<ds:datastoreItem xmlns:ds="http://schemas.openxmlformats.org/officeDocument/2006/customXml" ds:itemID="{7602cf47-59a4-4a3c-b912-116329d44c3f}">
  <ds:schemaRefs/>
</ds:datastoreItem>
</file>

<file path=customXml/itemProps8.xml><?xml version="1.0" encoding="utf-8"?>
<ds:datastoreItem xmlns:ds="http://schemas.openxmlformats.org/officeDocument/2006/customXml" ds:itemID="{766871e1-af0f-4363-86f9-f8680a1e85e9}">
  <ds:schemaRefs/>
</ds:datastoreItem>
</file>

<file path=customXml/itemProps9.xml><?xml version="1.0" encoding="utf-8"?>
<ds:datastoreItem xmlns:ds="http://schemas.openxmlformats.org/officeDocument/2006/customXml" ds:itemID="{3350fcfc-ee80-4d2f-9089-a316e8d7191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5878</Words>
  <Characters>6408</Characters>
  <Lines>0</Lines>
  <Paragraphs>0</Paragraphs>
  <TotalTime>11</TotalTime>
  <ScaleCrop>false</ScaleCrop>
  <LinksUpToDate>false</LinksUpToDate>
  <CharactersWithSpaces>6420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dcterms:modified xsi:type="dcterms:W3CDTF">2024-09-19T01:36:27Z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E06D266F13EA4024808CEEADBAD91186_11</vt:lpwstr>
  </property>
</Properties>
</file>