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lang w:eastAsia="zh-CN"/>
        </w:rPr>
        <w:t>华池县人大办关于</w:t>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年度单位</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为进一步规范财政支出管理，牢固树立预算绩效理念，强化支出责任，提高财政资金使用效益，根据县财政局的安排，我们遵循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科学性、规范性、客观性和公正性”的原则,对我单位202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年度的整体支出情况进行了绩效评价，现将情况报告如下：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一、部门概况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（一）部门主要职责职能，组织框架、人员及资产等基本情况。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华池县人大常委会办公室是县人大常委会内设办事机构。主要职责是:一是负责县人民代表大会会议、常委会会议和主任会议的具体会务工作。负责会议筹备，草拟有关会议文件及草案，综合整理审议意见，印发会议文件，做好会场服务和后勤保障等工作。二是负责起草常委会以及常委会办公室上报下发的各类文件；常委会年度工作要点、有关工作报告、决议、决定草案和常委会领导的重要讲话。三是根据常委会的决定和主任会议的安排，为常委会开展视察、调查、检查等重大活动以及常委会组成人员、人大代表、各工作委员会依法开展活动，提供服务。四是根据常委会年度工作要点和主任会议的安排，积极开展调查研究，为常委会提供情况，当好参谋。五是负责接待人民代表和群众的来信来访；及时向常委会领导反映人民群众对“一府一委两院”和国家工作人员的申诉、控告；负责调查和处理上级人大转交和县人大常委会受理的人民群众的信访案件。六是负责做好来文处理及各类文件的立卷、归档、保管等文书机要工作。七是负责与常委会各位领导、其他组成人员、各工委的经常性联系，做好协调服务工作。八是负责做好与省、市人大、县委办、政府办、政协办、法院、检察院和常委会各工作委员会及各乡（镇）人大的工作联系。九是负责安排常委会机关的政治、业务、法律、法规的学习和岗位责任制的考评、考核工作。十是负责做好与上级人大新闻机构及县委宣传部门、新闻单位的经常性联系，开展人大理论研讨，做好人大宣传工作，定期撰写审查县人民代表大会、常委会以及其他会议宣传报道稿件，编发《简讯》和《华池县人大常委会会刊》。十一是负责常委会机关的行政事务、财务、车辆管理、后勤服务、来宾接待、安全保卫以及离退休干部职工的服务等工作。十二是办理常委会、主任会议以及常委会领导交办的其它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县十九届人大常委会现有组成人员24名（其中主任1名，副主任4名，委员19名)，常委会下设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一室四工委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即办公室、法制司法民侨内务工作委员会、财经农业城建环保工作委员会、教育科学文化卫生工作委员会、代表人事工作委员会)。全县现有各级人大代表853名（其中省人大代表2名、市人大代表22名、县人大代表168名、乡镇人大代表768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我单位共核定编制29人，其中行政编制数12人，事业编制9人，工勤编制8人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年12月底实有在职人数3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人。截至2023年12月31日，我单位资产总额（账面净值）199.69万元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（二）当年部门履职总体目标、工作任务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年初合理安排经费支出和工资福利各项预算支出，保障各内设机构及办公室工作正常运转，做到差旅及各项经费报销及时，各种福利保障到位。</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（三）当年部门年度整体支出绩效目标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本次整体绩效自评包括2023年度单位所有基本支出，总计</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万元，本次基本支出绩效自评金额</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万元，覆盖率为100%，整体支出绩效做到综合评价“优”。</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（四）部门预算绩效管理开展情况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我单位十分重视绩效评价工作，严格按照县上有关文件精神，</w:t>
      </w:r>
      <w:r>
        <w:rPr>
          <w:rFonts w:hint="eastAsia" w:ascii="仿宋_GB2312" w:hAnsi="仿宋_GB2312" w:eastAsia="仿宋_GB2312" w:cs="仿宋_GB2312"/>
          <w:sz w:val="32"/>
          <w:szCs w:val="32"/>
          <w:lang w:val="en-US" w:eastAsia="zh-CN"/>
        </w:rPr>
        <w:t>主要</w:t>
      </w:r>
      <w:r>
        <w:rPr>
          <w:rFonts w:hint="eastAsia" w:ascii="仿宋_GB2312" w:hAnsi="仿宋_GB2312" w:eastAsia="仿宋_GB2312" w:cs="仿宋_GB2312"/>
          <w:sz w:val="32"/>
          <w:szCs w:val="32"/>
        </w:rPr>
        <w:t>领导及时做出批示，要求财务部门牵头，科学分析，精准评价，确保绩效评价客观公正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按时</w:t>
      </w:r>
      <w:r>
        <w:rPr>
          <w:rFonts w:hint="eastAsia" w:ascii="仿宋_GB2312" w:hAnsi="仿宋_GB2312" w:eastAsia="仿宋_GB2312" w:cs="仿宋_GB2312"/>
          <w:sz w:val="32"/>
          <w:szCs w:val="32"/>
        </w:rPr>
        <w:t>完成此次自评工作。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一是</w:t>
      </w:r>
      <w:r>
        <w:rPr>
          <w:rFonts w:hint="eastAsia" w:ascii="仿宋_GB2312" w:hAnsi="仿宋_GB2312" w:eastAsia="仿宋_GB2312" w:cs="仿宋_GB2312"/>
          <w:sz w:val="32"/>
          <w:szCs w:val="32"/>
        </w:rPr>
        <w:t>建立健全单位管理制度，强化财务制度约束。对标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四个机关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责定位，根据新修订的地方组织法，修订完成《华池县人大常委会及机关规章制度汇编》，集纳工作规则、议事规则、代表履职管理等常委会运行制度31项，形成依制度议事、按制度办事、用制度规范行为的长效机制。进一步细化、完善公务接待、办公费、差旅费、培训费等支付制度，并对财务公开与监督检查作出公开承诺，按照国家财经法律法规和单位各项规章制度开展工作。所有的经济事项在制度的框架内运行，使单位管理制度、财务管理、会计核算进一步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二是</w:t>
      </w:r>
      <w:r>
        <w:rPr>
          <w:rFonts w:hint="eastAsia" w:ascii="仿宋_GB2312" w:hAnsi="仿宋_GB2312" w:eastAsia="仿宋_GB2312" w:cs="仿宋_GB2312"/>
          <w:sz w:val="32"/>
          <w:szCs w:val="32"/>
        </w:rPr>
        <w:t>严格预算支出管理。在支出预算编制上，人员经费按照配置定额，逐人核定编制，公用经费分类分档，按定额编制；根据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总量控制、计划管理”的要求从严控制行政经费，压缩公务费开支，严格控制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三公”经费，资产的配置严格政府采购，按照预算科目和项目资金的规定使用财政资金，保障部门整体支出的规范化、制度化。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三是</w:t>
      </w:r>
      <w:r>
        <w:rPr>
          <w:rFonts w:hint="eastAsia" w:ascii="仿宋_GB2312" w:hAnsi="仿宋_GB2312" w:eastAsia="仿宋_GB2312" w:cs="仿宋_GB2312"/>
          <w:sz w:val="32"/>
          <w:szCs w:val="32"/>
        </w:rPr>
        <w:t>执行资金预算化管理，积极推进支出绩效管理。财务部门负责预算绩效管理，对项目绩效目标完成情况进行总结分析，撰写绩效报告，根据绩效评价结果改进预算绩效管理，通过资金预算编制、调整、执行、控制、绩效评价，增强财政资金投入、产出效能，提高财政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（五）当年部门预算及执行情况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2023年年初预算数</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万元，项目支出0万元；全年预算数财政拨款为</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万元，上级补助收入0万元。2023年实际支出</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632.95</w:t>
      </w:r>
      <w:r>
        <w:rPr>
          <w:rFonts w:hint="eastAsia" w:ascii="仿宋_GB2312" w:hAnsi="仿宋_GB2312" w:eastAsia="仿宋_GB2312" w:cs="仿宋_GB2312"/>
          <w:sz w:val="32"/>
          <w:szCs w:val="32"/>
        </w:rPr>
        <w:t>万元、项目支出0万元。年末</w:t>
      </w:r>
      <w:r>
        <w:rPr>
          <w:rFonts w:hint="eastAsia" w:ascii="仿宋_GB2312" w:hAnsi="仿宋_GB2312" w:eastAsia="仿宋_GB2312" w:cs="仿宋_GB2312"/>
          <w:sz w:val="32"/>
          <w:szCs w:val="32"/>
          <w:lang w:val="en-US" w:eastAsia="zh-CN"/>
        </w:rPr>
        <w:t>无结余。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二、部门整体支出绩效实现情况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2023年，我单位纳入预算绩效管理资金632.95万元，其中项目绩效资金0万元。全年执行数为632.95万元，均为基本支出，执行率为100%。在执行过程中，我单位认真贯彻中央和省、市、区有关文件精神，积极推进预算绩效管理工作，进一步健全财务管理制度，严格按照绩效目标的各项指标执行，做到会计核算符合相关规定、资金专款专用、资金支付依据和开支标准合法合规，提高财政资金使用效益和科学精细化管理水平，保证预算绩效工作有效开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及时完成各项经费支付，维持各个办公室正常工作运转。2023年，县人大常委会在县委的坚强领导下，坚持以习近平新时代中国特色社会主义思想为指导，深入学习党的二十大精神，全面贯彻落实中央、省市县委人大工作会议要求，依法履行宪法和法律赋予的职责，以“丰富和发展全过程人民民主”为主线，把准政治站位铸牢政治忠诚、多措并举践行人民民主，圆满完成了县十九届人大二次会议确定的各项目标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先后向县委常委会专题汇报工作</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次，向县委请示报告工作7次，听取和审议“一府一委两院”各项工作报告12项，开展了全县重大项目</w:t>
      </w:r>
      <w:r>
        <w:rPr>
          <w:rFonts w:hint="eastAsia" w:ascii="仿宋_GB2312" w:hAnsi="仿宋_GB2312" w:eastAsia="仿宋_GB2312" w:cs="仿宋_GB2312"/>
          <w:sz w:val="32"/>
          <w:szCs w:val="32"/>
          <w:lang w:val="en-US" w:eastAsia="zh-CN"/>
        </w:rPr>
        <w:t>建设工作</w:t>
      </w:r>
      <w:r>
        <w:rPr>
          <w:rFonts w:hint="eastAsia" w:ascii="仿宋_GB2312" w:hAnsi="仿宋_GB2312" w:eastAsia="仿宋_GB2312" w:cs="仿宋_GB2312"/>
          <w:sz w:val="32"/>
          <w:szCs w:val="32"/>
        </w:rPr>
        <w:t>视察和对全县</w:t>
      </w:r>
      <w:r>
        <w:rPr>
          <w:rFonts w:hint="eastAsia" w:ascii="仿宋_GB2312" w:hAnsi="仿宋_GB2312" w:eastAsia="仿宋_GB2312" w:cs="仿宋_GB2312"/>
          <w:sz w:val="32"/>
          <w:szCs w:val="32"/>
          <w:lang w:val="en-US" w:eastAsia="zh-CN"/>
        </w:rPr>
        <w:t>医疗卫生体系建设情况</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千名代表调研视察千项工程、工业发展思路及定位工作</w:t>
      </w:r>
      <w:r>
        <w:rPr>
          <w:rFonts w:hint="eastAsia" w:ascii="仿宋_GB2312" w:hAnsi="仿宋_GB2312" w:eastAsia="仿宋_GB2312" w:cs="仿宋_GB2312"/>
          <w:sz w:val="32"/>
          <w:szCs w:val="32"/>
        </w:rPr>
        <w:t>专题调研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对全县贯彻实施《中华人民共和国</w:t>
      </w:r>
      <w:r>
        <w:rPr>
          <w:rFonts w:hint="eastAsia" w:ascii="仿宋_GB2312" w:hAnsi="仿宋_GB2312" w:eastAsia="仿宋_GB2312" w:cs="仿宋_GB2312"/>
          <w:sz w:val="32"/>
          <w:szCs w:val="32"/>
          <w:lang w:val="en-US" w:eastAsia="zh-CN"/>
        </w:rPr>
        <w:t>道路交通安全</w:t>
      </w:r>
      <w:r>
        <w:rPr>
          <w:rFonts w:hint="eastAsia" w:ascii="仿宋_GB2312" w:hAnsi="仿宋_GB2312" w:eastAsia="仿宋_GB2312" w:cs="仿宋_GB2312"/>
          <w:sz w:val="32"/>
          <w:szCs w:val="32"/>
        </w:rPr>
        <w:t>法》《</w:t>
      </w:r>
      <w:r>
        <w:rPr>
          <w:rFonts w:hint="eastAsia" w:ascii="仿宋_GB2312" w:hAnsi="仿宋_GB2312" w:eastAsia="仿宋_GB2312" w:cs="仿宋_GB2312"/>
          <w:sz w:val="32"/>
          <w:szCs w:val="32"/>
          <w:lang w:val="en-US" w:eastAsia="zh-CN"/>
        </w:rPr>
        <w:t>庆阳市农村住房规划建设管理条例</w:t>
      </w:r>
      <w:r>
        <w:rPr>
          <w:rFonts w:hint="eastAsia" w:ascii="仿宋_GB2312" w:hAnsi="仿宋_GB2312" w:eastAsia="仿宋_GB2312" w:cs="仿宋_GB2312"/>
          <w:sz w:val="32"/>
          <w:szCs w:val="32"/>
        </w:rPr>
        <w:t>》等法律法规开展了立法调研和执法检查，依法任免国家机关工作人员</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highlight w:val="none"/>
        </w:rPr>
        <w:t>并向32名新任命人员颁发了任命书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对县法院、县检察院、县公安局、县司法局履行职责助力优化营商环境工作开展了评议活动，梳理出10个方面17条评议意见</w:t>
      </w:r>
      <w:r>
        <w:rPr>
          <w:rFonts w:hint="eastAsia" w:ascii="仿宋_GB2312" w:hAnsi="仿宋_GB2312" w:eastAsia="仿宋_GB2312" w:cs="仿宋_GB2312"/>
          <w:sz w:val="32"/>
          <w:szCs w:val="32"/>
        </w:rPr>
        <w:t>。创建了全过程人民民主南梁镇立法实践基地，探索建立了“1+3+N”工作模式和“1+3+14+50”工作方法。开展学习培训</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场次，培训代表</w:t>
      </w:r>
      <w:r>
        <w:rPr>
          <w:rFonts w:hint="eastAsia" w:ascii="仿宋_GB2312" w:hAnsi="仿宋_GB2312" w:eastAsia="仿宋_GB2312" w:cs="仿宋_GB2312"/>
          <w:sz w:val="32"/>
          <w:szCs w:val="32"/>
          <w:lang w:val="en-US" w:eastAsia="zh-CN"/>
        </w:rPr>
        <w:t>400</w:t>
      </w:r>
      <w:r>
        <w:rPr>
          <w:rFonts w:hint="eastAsia" w:ascii="仿宋_GB2312" w:hAnsi="仿宋_GB2312" w:eastAsia="仿宋_GB2312" w:cs="仿宋_GB2312"/>
          <w:sz w:val="32"/>
          <w:szCs w:val="32"/>
        </w:rPr>
        <w:t>多人次，全方位提升了代表履职能力，围绕高水平目标，推动法治华池建设，规范推进人事任免工作，全流程抓好意见建议督办，全覆盖搭建代表履职平台，使人大工作服从服务全县工作大局更加有力，密切联系群众更加有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三、部门整体支出绩效中存在的问题及改进措施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（一）主要问题及原因分析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部门整体支出绩效中没有存在的问题</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（二）改进的方向和具体措施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综合评价与分析，华池县人民</w:t>
      </w:r>
      <w:r>
        <w:rPr>
          <w:rFonts w:hint="eastAsia" w:ascii="仿宋_GB2312" w:hAnsi="仿宋_GB2312" w:eastAsia="仿宋_GB2312" w:cs="仿宋_GB2312"/>
          <w:sz w:val="32"/>
          <w:szCs w:val="32"/>
          <w:lang w:val="en-US" w:eastAsia="zh-CN"/>
        </w:rPr>
        <w:t>代表大会常务委员会办公室</w:t>
      </w:r>
      <w:r>
        <w:rPr>
          <w:rFonts w:hint="eastAsia" w:ascii="仿宋_GB2312" w:hAnsi="仿宋_GB2312" w:eastAsia="仿宋_GB2312" w:cs="仿宋_GB2312"/>
          <w:sz w:val="32"/>
          <w:szCs w:val="32"/>
        </w:rPr>
        <w:t>部门整体支出绩效评价最终得分为100分，评价结果为“优”。评价结果将在一定范围内适时公开，并将作为</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资金预算的重要依据</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1"/>
                              <w:szCs w:val="32"/>
                            </w:rPr>
                          </w:pPr>
                          <w:r>
                            <w:rPr>
                              <w:rFonts w:hint="default" w:ascii="Times New Roman" w:hAnsi="Times New Roman" w:cs="Times New Roman"/>
                              <w:sz w:val="21"/>
                              <w:szCs w:val="32"/>
                            </w:rPr>
                            <w:fldChar w:fldCharType="begin"/>
                          </w:r>
                          <w:r>
                            <w:rPr>
                              <w:rFonts w:hint="default" w:ascii="Times New Roman" w:hAnsi="Times New Roman" w:cs="Times New Roman"/>
                              <w:sz w:val="21"/>
                              <w:szCs w:val="32"/>
                            </w:rPr>
                            <w:instrText xml:space="preserve"> PAGE  \* MERGEFORMAT </w:instrText>
                          </w:r>
                          <w:r>
                            <w:rPr>
                              <w:rFonts w:hint="default" w:ascii="Times New Roman" w:hAnsi="Times New Roman" w:cs="Times New Roman"/>
                              <w:sz w:val="21"/>
                              <w:szCs w:val="32"/>
                            </w:rPr>
                            <w:fldChar w:fldCharType="separate"/>
                          </w:r>
                          <w:r>
                            <w:rPr>
                              <w:rFonts w:hint="default" w:ascii="Times New Roman" w:hAnsi="Times New Roman" w:cs="Times New Roman"/>
                              <w:sz w:val="21"/>
                              <w:szCs w:val="32"/>
                            </w:rPr>
                            <w:t>1</w:t>
                          </w:r>
                          <w:r>
                            <w:rPr>
                              <w:rFonts w:hint="default" w:ascii="Times New Roman" w:hAnsi="Times New Roman" w:cs="Times New Roman"/>
                              <w:sz w:val="21"/>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1"/>
                        <w:szCs w:val="32"/>
                      </w:rPr>
                    </w:pPr>
                    <w:r>
                      <w:rPr>
                        <w:rFonts w:hint="default" w:ascii="Times New Roman" w:hAnsi="Times New Roman" w:cs="Times New Roman"/>
                        <w:sz w:val="21"/>
                        <w:szCs w:val="32"/>
                      </w:rPr>
                      <w:fldChar w:fldCharType="begin"/>
                    </w:r>
                    <w:r>
                      <w:rPr>
                        <w:rFonts w:hint="default" w:ascii="Times New Roman" w:hAnsi="Times New Roman" w:cs="Times New Roman"/>
                        <w:sz w:val="21"/>
                        <w:szCs w:val="32"/>
                      </w:rPr>
                      <w:instrText xml:space="preserve"> PAGE  \* MERGEFORMAT </w:instrText>
                    </w:r>
                    <w:r>
                      <w:rPr>
                        <w:rFonts w:hint="default" w:ascii="Times New Roman" w:hAnsi="Times New Roman" w:cs="Times New Roman"/>
                        <w:sz w:val="21"/>
                        <w:szCs w:val="32"/>
                      </w:rPr>
                      <w:fldChar w:fldCharType="separate"/>
                    </w:r>
                    <w:r>
                      <w:rPr>
                        <w:rFonts w:hint="default" w:ascii="Times New Roman" w:hAnsi="Times New Roman" w:cs="Times New Roman"/>
                        <w:sz w:val="21"/>
                        <w:szCs w:val="32"/>
                      </w:rPr>
                      <w:t>1</w:t>
                    </w:r>
                    <w:r>
                      <w:rPr>
                        <w:rFonts w:hint="default" w:ascii="Times New Roman" w:hAnsi="Times New Roman" w:cs="Times New Roman"/>
                        <w:sz w:val="21"/>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xNjU3YzRjNGFkYzU1ZGU5NmM3ZDIwOTg4ODVmZGQifQ=="/>
  </w:docVars>
  <w:rsids>
    <w:rsidRoot w:val="6B0710D0"/>
    <w:rsid w:val="302017FD"/>
    <w:rsid w:val="3D87623F"/>
    <w:rsid w:val="405C6B77"/>
    <w:rsid w:val="49607DA0"/>
    <w:rsid w:val="4A8B2EC5"/>
    <w:rsid w:val="627564C5"/>
    <w:rsid w:val="6B0710D0"/>
    <w:rsid w:val="73DA0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1924</Words>
  <Characters>1989</Characters>
  <Lines>0</Lines>
  <Paragraphs>0</Paragraphs>
  <TotalTime>14</TotalTime>
  <ScaleCrop>false</ScaleCrop>
  <LinksUpToDate>false</LinksUpToDate>
  <CharactersWithSpaces>1989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2023-06-28T08:37:00Z</dcterms:created>
  <dc:creator>水薇</dc:creator>
  <cp:lastModifiedBy>水薇</cp:lastModifiedBy>
  <dcterms:modified xsi:type="dcterms:W3CDTF">2024-05-16T02:54:46Z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FA77708376AD42FC8768AB5B50F0E3AE_11</vt:lpwstr>
  </property>
</Properties>
</file>