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napToGrid/>
        <w:spacing w:before="100" w:beforeLines="0" w:after="100" w:afterLines="0" w:line="240" w:lineRule="auto"/>
        <w:ind w:firstLine="480" w:firstLineChars="200"/>
        <w:jc w:val="center"/>
        <w:textAlignment w:val="auto"/>
        <w:rPr>
          <w:rFonts w:hint="eastAsia" w:ascii="宋体" w:hAnsi="宋体"/>
          <w:sz w:val="24"/>
          <w:szCs w:val="24"/>
          <w:lang w:val="zh-CN"/>
        </w:rPr>
      </w:pP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center"/>
        <w:textAlignment w:val="auto"/>
        <w:rPr>
          <w:rFonts w:hint="eastAsia" w:ascii="宋体" w:hAnsi="宋体"/>
          <w:sz w:val="24"/>
          <w:szCs w:val="24"/>
          <w:lang w:val="zh-CN"/>
        </w:rPr>
      </w:pP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center"/>
        <w:textAlignment w:val="auto"/>
        <w:rPr>
          <w:rFonts w:hint="eastAsia" w:ascii="宋体" w:hAnsi="宋体"/>
          <w:sz w:val="24"/>
          <w:szCs w:val="24"/>
          <w:lang w:val="zh-CN"/>
        </w:rPr>
      </w:pP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center"/>
        <w:textAlignment w:val="auto"/>
        <w:rPr>
          <w:rFonts w:hint="eastAsia" w:ascii="宋体" w:hAnsi="宋体"/>
          <w:sz w:val="24"/>
          <w:szCs w:val="24"/>
          <w:lang w:val="zh-CN"/>
        </w:rPr>
      </w:pP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center"/>
        <w:textAlignment w:val="auto"/>
        <w:rPr>
          <w:rFonts w:hint="eastAsia" w:ascii="宋体" w:hAnsi="宋体"/>
          <w:sz w:val="24"/>
          <w:szCs w:val="24"/>
          <w:lang w:val="zh-CN"/>
        </w:rPr>
      </w:pP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center"/>
        <w:textAlignment w:val="auto"/>
        <w:rPr>
          <w:rFonts w:hint="eastAsia" w:ascii="宋体" w:hAnsi="宋体"/>
          <w:sz w:val="24"/>
          <w:szCs w:val="24"/>
          <w:lang w:val="zh-CN"/>
        </w:rPr>
      </w:pP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center"/>
        <w:textAlignment w:val="auto"/>
        <w:rPr>
          <w:rFonts w:hint="eastAsia" w:ascii="宋体" w:hAnsi="宋体"/>
          <w:sz w:val="24"/>
          <w:szCs w:val="24"/>
          <w:lang w:val="zh-CN"/>
        </w:rPr>
      </w:pP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center"/>
        <w:textAlignment w:val="auto"/>
        <w:rPr>
          <w:rFonts w:hint="eastAsia" w:ascii="宋体" w:hAnsi="宋体"/>
          <w:sz w:val="24"/>
          <w:szCs w:val="24"/>
          <w:lang w:val="zh-CN"/>
        </w:rPr>
      </w:pP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center"/>
        <w:textAlignment w:val="auto"/>
        <w:rPr>
          <w:rFonts w:hint="eastAsia" w:ascii="宋体" w:hAnsi="宋体"/>
          <w:sz w:val="24"/>
          <w:szCs w:val="24"/>
          <w:lang w:val="zh-CN"/>
        </w:rPr>
      </w:pP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center"/>
        <w:textAlignment w:val="auto"/>
        <w:rPr>
          <w:rFonts w:hint="eastAsia" w:ascii="宋体" w:hAnsi="宋体"/>
          <w:sz w:val="24"/>
          <w:szCs w:val="24"/>
          <w:lang w:val="zh-CN"/>
        </w:rPr>
      </w:pP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center"/>
        <w:textAlignment w:val="auto"/>
        <w:rPr>
          <w:rFonts w:hint="eastAsia" w:ascii="宋体" w:hAnsi="宋体"/>
          <w:sz w:val="24"/>
          <w:szCs w:val="24"/>
          <w:lang w:val="zh-CN"/>
        </w:rPr>
      </w:pP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center"/>
        <w:textAlignment w:val="auto"/>
        <w:rPr>
          <w:rFonts w:hint="eastAsia" w:ascii="宋体" w:hAnsi="宋体"/>
          <w:sz w:val="24"/>
          <w:szCs w:val="24"/>
          <w:lang w:val="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方正小标宋简体" w:eastAsia="方正小标宋简体"/>
          <w:kern w:val="0"/>
          <w:sz w:val="48"/>
          <w:szCs w:val="48"/>
          <w:lang w:val="zh-CN" w:eastAsia="zh-CN" w:bidi="ar-SA"/>
        </w:rPr>
      </w:pPr>
      <w:r>
        <w:rPr>
          <w:rFonts w:hint="eastAsia" w:ascii="方正小标宋简体" w:eastAsia="方正小标宋简体"/>
          <w:kern w:val="0"/>
          <w:sz w:val="48"/>
          <w:szCs w:val="48"/>
          <w:lang w:val="zh-CN" w:eastAsia="zh-CN" w:bidi="ar-SA"/>
        </w:rPr>
        <w:t>2023年度</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方正小标宋简体" w:eastAsia="方正小标宋简体"/>
          <w:kern w:val="0"/>
          <w:sz w:val="48"/>
          <w:szCs w:val="48"/>
          <w:lang w:val="zh-CN" w:eastAsia="zh-CN" w:bidi="ar-SA"/>
        </w:rPr>
      </w:pPr>
      <w:r>
        <w:rPr>
          <w:rFonts w:hint="eastAsia" w:ascii="方正小标宋简体" w:eastAsia="方正小标宋简体"/>
          <w:kern w:val="0"/>
          <w:sz w:val="48"/>
          <w:szCs w:val="48"/>
          <w:lang w:val="zh-CN" w:eastAsia="zh-CN" w:bidi="ar-SA"/>
        </w:rPr>
        <w:t>华池县乔河乡乔河小学部门决算</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center"/>
        <w:textAlignment w:val="auto"/>
        <w:rPr>
          <w:rFonts w:hint="eastAsia" w:ascii="宋体" w:hAnsi="宋体"/>
          <w:sz w:val="24"/>
          <w:szCs w:val="24"/>
          <w:lang w:val="zh-CN"/>
        </w:rPr>
      </w:pP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center"/>
        <w:textAlignment w:val="auto"/>
        <w:rPr>
          <w:rFonts w:hint="eastAsia" w:ascii="宋体" w:hAnsi="宋体"/>
          <w:sz w:val="24"/>
          <w:szCs w:val="24"/>
          <w:lang w:val="zh-CN"/>
        </w:rPr>
      </w:pP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center"/>
        <w:textAlignment w:val="auto"/>
        <w:rPr>
          <w:rFonts w:hint="eastAsia" w:ascii="宋体" w:hAnsi="宋体"/>
          <w:sz w:val="24"/>
          <w:szCs w:val="24"/>
          <w:lang w:val="zh-CN"/>
        </w:rPr>
      </w:pP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center"/>
        <w:textAlignment w:val="auto"/>
        <w:rPr>
          <w:rFonts w:hint="eastAsia" w:ascii="宋体" w:hAnsi="宋体"/>
          <w:sz w:val="24"/>
          <w:szCs w:val="24"/>
          <w:lang w:val="zh-CN"/>
        </w:rPr>
      </w:pP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center"/>
        <w:textAlignment w:val="auto"/>
        <w:rPr>
          <w:rFonts w:hint="eastAsia" w:ascii="宋体" w:hAnsi="宋体"/>
          <w:sz w:val="24"/>
          <w:szCs w:val="24"/>
          <w:lang w:val="zh-CN"/>
        </w:rPr>
      </w:pP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center"/>
        <w:textAlignment w:val="auto"/>
        <w:rPr>
          <w:rFonts w:hint="eastAsia" w:ascii="宋体" w:hAnsi="宋体"/>
          <w:sz w:val="24"/>
          <w:szCs w:val="24"/>
          <w:lang w:val="zh-CN"/>
        </w:rPr>
      </w:pP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center"/>
        <w:textAlignment w:val="auto"/>
        <w:rPr>
          <w:rFonts w:hint="eastAsia" w:ascii="宋体" w:hAnsi="宋体"/>
          <w:sz w:val="24"/>
          <w:szCs w:val="24"/>
          <w:lang w:val="zh-CN"/>
        </w:rPr>
      </w:pP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center"/>
        <w:textAlignment w:val="auto"/>
        <w:rPr>
          <w:rFonts w:hint="eastAsia" w:ascii="宋体" w:hAnsi="宋体"/>
          <w:sz w:val="24"/>
          <w:szCs w:val="24"/>
          <w:lang w:val="zh-CN"/>
        </w:rPr>
      </w:pP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center"/>
        <w:textAlignment w:val="auto"/>
        <w:rPr>
          <w:rFonts w:hint="eastAsia" w:ascii="宋体" w:hAnsi="宋体"/>
          <w:sz w:val="24"/>
          <w:szCs w:val="24"/>
          <w:lang w:val="zh-CN"/>
        </w:rPr>
      </w:pPr>
    </w:p>
    <w:p>
      <w:pPr>
        <w:keepNext w:val="0"/>
        <w:keepLines w:val="0"/>
        <w:pageBreakBefore w:val="0"/>
        <w:widowControl/>
        <w:kinsoku/>
        <w:wordWrap/>
        <w:overflowPunct/>
        <w:topLinePunct w:val="0"/>
        <w:autoSpaceDE/>
        <w:autoSpaceDN/>
        <w:bidi w:val="0"/>
        <w:adjustRightInd/>
        <w:snapToGrid/>
        <w:spacing w:before="100" w:beforeLines="0" w:after="100" w:afterLines="0" w:line="240" w:lineRule="auto"/>
        <w:ind w:firstLine="0" w:firstLineChars="0"/>
        <w:jc w:val="center"/>
        <w:textAlignment w:val="auto"/>
        <w:rPr>
          <w:rFonts w:hint="eastAsia" w:ascii="宋体" w:hAnsi="宋体"/>
          <w:sz w:val="24"/>
          <w:szCs w:val="24"/>
          <w:lang w:val="zh-CN"/>
        </w:rPr>
      </w:pP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center"/>
        <w:textAlignment w:val="auto"/>
        <w:rPr>
          <w:rFonts w:hint="eastAsia" w:ascii="宋体" w:hAnsi="宋体"/>
          <w:sz w:val="24"/>
          <w:szCs w:val="24"/>
          <w:lang w:val="zh-CN"/>
        </w:rPr>
      </w:pP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center"/>
        <w:textAlignment w:val="auto"/>
        <w:rPr>
          <w:rFonts w:hint="eastAsia" w:ascii="宋体" w:hAnsi="宋体"/>
          <w:sz w:val="24"/>
          <w:szCs w:val="24"/>
          <w:lang w:val="zh-CN"/>
        </w:rPr>
      </w:pP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center"/>
        <w:textAlignment w:val="auto"/>
        <w:rPr>
          <w:rFonts w:hint="eastAsia" w:ascii="宋体" w:hAnsi="宋体"/>
          <w:sz w:val="24"/>
          <w:szCs w:val="24"/>
          <w:lang w:val="zh-CN"/>
        </w:rPr>
      </w:pP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center"/>
        <w:textAlignment w:val="auto"/>
        <w:rPr>
          <w:rFonts w:hint="eastAsia" w:ascii="宋体" w:hAnsi="宋体"/>
          <w:sz w:val="24"/>
          <w:szCs w:val="24"/>
          <w:lang w:val="zh-CN"/>
        </w:rPr>
      </w:pP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center"/>
        <w:textAlignment w:val="auto"/>
        <w:rPr>
          <w:rFonts w:hint="eastAsia" w:ascii="宋体" w:hAnsi="宋体"/>
          <w:sz w:val="24"/>
          <w:szCs w:val="24"/>
          <w:lang w:val="zh-CN"/>
        </w:rPr>
      </w:pP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center"/>
        <w:textAlignment w:val="auto"/>
        <w:rPr>
          <w:rFonts w:hint="eastAsia" w:ascii="宋体" w:hAnsi="宋体"/>
          <w:sz w:val="24"/>
          <w:szCs w:val="24"/>
          <w:lang w:val="zh-CN"/>
        </w:rPr>
      </w:pP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center"/>
        <w:textAlignment w:val="auto"/>
        <w:rPr>
          <w:rFonts w:hint="eastAsia" w:ascii="宋体" w:hAnsi="宋体"/>
          <w:sz w:val="24"/>
          <w:szCs w:val="24"/>
          <w:lang w:val="zh-CN"/>
        </w:rPr>
      </w:pPr>
    </w:p>
    <w:p>
      <w:pPr>
        <w:pageBreakBefore w:val="0"/>
        <w:widowControl/>
        <w:kinsoku/>
        <w:wordWrap/>
        <w:overflowPunct/>
        <w:topLinePunct w:val="0"/>
        <w:autoSpaceDE/>
        <w:autoSpaceDN/>
        <w:bidi w:val="0"/>
        <w:adjustRightInd/>
        <w:snapToGrid/>
        <w:spacing w:before="100" w:beforeLines="0" w:after="100" w:afterLines="0" w:line="240" w:lineRule="auto"/>
        <w:ind w:firstLine="880" w:firstLineChars="200"/>
        <w:jc w:val="center"/>
        <w:textAlignment w:val="auto"/>
        <w:rPr>
          <w:rFonts w:hint="eastAsia" w:ascii="黑体" w:hAnsi="黑体" w:eastAsia="黑体" w:cs="黑体"/>
          <w:b w:val="0"/>
          <w:bCs/>
          <w:color w:val="auto"/>
          <w:sz w:val="44"/>
          <w:szCs w:val="44"/>
          <w:lang w:val="zh-CN"/>
        </w:rPr>
      </w:pPr>
      <w:r>
        <w:rPr>
          <w:rFonts w:hint="eastAsia" w:ascii="黑体" w:hAnsi="黑体" w:eastAsia="黑体" w:cs="黑体"/>
          <w:b w:val="0"/>
          <w:bCs/>
          <w:color w:val="auto"/>
          <w:sz w:val="44"/>
          <w:szCs w:val="44"/>
          <w:lang w:val="zh-CN"/>
        </w:rPr>
        <w:t>目录</w:t>
      </w:r>
    </w:p>
    <w:p>
      <w:pPr>
        <w:pageBreakBefore w:val="0"/>
        <w:kinsoku/>
        <w:wordWrap/>
        <w:overflowPunct/>
        <w:topLinePunct w:val="0"/>
        <w:autoSpaceDE/>
        <w:autoSpaceDN/>
        <w:bidi w:val="0"/>
        <w:adjustRightInd/>
        <w:snapToGrid/>
        <w:spacing w:before="100" w:beforeLines="0" w:after="100" w:afterLines="0" w:line="240" w:lineRule="auto"/>
        <w:ind w:firstLine="482" w:firstLineChars="200"/>
        <w:jc w:val="left"/>
        <w:textAlignment w:val="auto"/>
        <w:rPr>
          <w:rFonts w:hint="eastAsia" w:ascii="宋体" w:hAnsi="宋体"/>
          <w:sz w:val="24"/>
          <w:szCs w:val="24"/>
          <w:lang w:val="zh-CN"/>
        </w:rPr>
      </w:pPr>
      <w:r>
        <w:rPr>
          <w:rFonts w:hint="eastAsia" w:ascii="宋体" w:hAnsi="宋体"/>
          <w:b/>
          <w:sz w:val="24"/>
          <w:szCs w:val="24"/>
          <w:lang w:val="zh-CN"/>
        </w:rPr>
        <w:t>第一部分部门概况</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一、部门职责</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二、机构设置</w:t>
      </w:r>
    </w:p>
    <w:p>
      <w:pPr>
        <w:pageBreakBefore w:val="0"/>
        <w:kinsoku/>
        <w:wordWrap/>
        <w:overflowPunct/>
        <w:topLinePunct w:val="0"/>
        <w:autoSpaceDE/>
        <w:autoSpaceDN/>
        <w:bidi w:val="0"/>
        <w:adjustRightInd/>
        <w:snapToGrid/>
        <w:spacing w:before="100" w:beforeLines="0" w:after="100" w:afterLines="0" w:line="240" w:lineRule="auto"/>
        <w:ind w:firstLine="482" w:firstLineChars="200"/>
        <w:jc w:val="left"/>
        <w:textAlignment w:val="auto"/>
        <w:rPr>
          <w:rFonts w:hint="eastAsia" w:ascii="宋体" w:hAnsi="宋体"/>
          <w:sz w:val="24"/>
          <w:szCs w:val="24"/>
          <w:lang w:val="zh-CN"/>
        </w:rPr>
      </w:pPr>
      <w:r>
        <w:rPr>
          <w:rFonts w:hint="eastAsia" w:ascii="宋体" w:hAnsi="宋体"/>
          <w:b/>
          <w:sz w:val="24"/>
          <w:szCs w:val="24"/>
          <w:lang w:val="zh-CN"/>
        </w:rPr>
        <w:t>第二部分2023年度部门决算表</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一、收入支出决算总表</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二、收入决算表</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三、支出决算表</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四、财政拨款收入支出决算总表</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五、一般公共预算财政拨款支出决算表</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六、一般公共预算财政拨款基本支出决算明细表</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七、政府性基金预算财政拨款收入支出决算表</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八、国有资本经营预算财政拨款支出决算表</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经费支出决算表</w:t>
      </w:r>
    </w:p>
    <w:p>
      <w:pPr>
        <w:pageBreakBefore w:val="0"/>
        <w:kinsoku/>
        <w:wordWrap/>
        <w:overflowPunct/>
        <w:topLinePunct w:val="0"/>
        <w:autoSpaceDE/>
        <w:autoSpaceDN/>
        <w:bidi w:val="0"/>
        <w:adjustRightInd/>
        <w:snapToGrid/>
        <w:spacing w:before="100" w:beforeLines="0" w:after="100" w:afterLines="0" w:line="240" w:lineRule="auto"/>
        <w:ind w:firstLine="482" w:firstLineChars="200"/>
        <w:jc w:val="left"/>
        <w:textAlignment w:val="auto"/>
        <w:rPr>
          <w:rFonts w:hint="eastAsia" w:ascii="宋体" w:hAnsi="宋体"/>
          <w:sz w:val="24"/>
          <w:szCs w:val="24"/>
          <w:lang w:val="zh-CN"/>
        </w:rPr>
      </w:pPr>
      <w:r>
        <w:rPr>
          <w:rFonts w:hint="eastAsia" w:ascii="宋体" w:hAnsi="宋体"/>
          <w:b/>
          <w:sz w:val="24"/>
          <w:szCs w:val="24"/>
          <w:lang w:val="zh-CN"/>
        </w:rPr>
        <w:t>第三部分2023年度部门决算情况说明</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一、收入支出决算总体情况说明</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二、收入决算情况说明</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三、支出决算情况说明</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四、财政拨款收入支出决算总体情况说明</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五、一般公共预算财政拨款支出决算情况说明</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六、一般公共预算财政拨款基本支出决算情况说明</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default" w:ascii="宋体" w:hAnsi="宋体" w:eastAsia="宋体"/>
          <w:sz w:val="24"/>
          <w:szCs w:val="24"/>
          <w:lang w:val="en-US" w:eastAsia="zh-CN"/>
        </w:rPr>
      </w:pPr>
      <w:r>
        <w:rPr>
          <w:rFonts w:hint="eastAsia" w:ascii="宋体" w:hAnsi="宋体"/>
          <w:sz w:val="24"/>
          <w:szCs w:val="24"/>
          <w:lang w:val="zh-CN"/>
        </w:rPr>
        <w:t>七、政府性基金预算财政拨款收支决算情况说明</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八、国有资本经营预算财政拨款支出情况说明</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sz w:val="24"/>
          <w:szCs w:val="24"/>
          <w:lang w:val="en-US" w:eastAsia="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经费支出决算情况说明</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default" w:ascii="宋体" w:hAnsi="宋体" w:eastAsia="宋体"/>
          <w:sz w:val="24"/>
          <w:szCs w:val="24"/>
          <w:lang w:val="en-US" w:eastAsia="zh-CN"/>
        </w:rPr>
      </w:pPr>
      <w:r>
        <w:rPr>
          <w:rFonts w:hint="eastAsia" w:ascii="宋体" w:hAnsi="宋体"/>
          <w:sz w:val="24"/>
          <w:szCs w:val="24"/>
          <w:lang w:val="zh-CN"/>
        </w:rPr>
        <w:t>十、机关运行经费支出情况说明</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十一、政府采购支出情况说明</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十二、国有资产占用情况说明</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十三、其他需要说明的情况</w:t>
      </w:r>
    </w:p>
    <w:p>
      <w:pPr>
        <w:pageBreakBefore w:val="0"/>
        <w:kinsoku/>
        <w:wordWrap/>
        <w:overflowPunct/>
        <w:topLinePunct w:val="0"/>
        <w:autoSpaceDE/>
        <w:autoSpaceDN/>
        <w:bidi w:val="0"/>
        <w:adjustRightInd/>
        <w:snapToGrid/>
        <w:spacing w:before="100" w:beforeLines="0" w:after="100" w:afterLines="0" w:line="240" w:lineRule="auto"/>
        <w:ind w:firstLine="482" w:firstLineChars="200"/>
        <w:jc w:val="left"/>
        <w:textAlignment w:val="auto"/>
        <w:rPr>
          <w:rFonts w:hint="eastAsia" w:ascii="宋体" w:hAnsi="宋体"/>
          <w:sz w:val="24"/>
          <w:szCs w:val="24"/>
          <w:lang w:val="zh-CN"/>
        </w:rPr>
      </w:pPr>
      <w:r>
        <w:rPr>
          <w:rFonts w:hint="eastAsia" w:ascii="宋体" w:hAnsi="宋体"/>
          <w:b/>
          <w:sz w:val="24"/>
          <w:szCs w:val="24"/>
          <w:lang w:val="zh-CN"/>
        </w:rPr>
        <w:t>第四部分预算绩效情况说明</w:t>
      </w:r>
    </w:p>
    <w:p>
      <w:pPr>
        <w:pageBreakBefore w:val="0"/>
        <w:kinsoku/>
        <w:wordWrap/>
        <w:overflowPunct/>
        <w:topLinePunct w:val="0"/>
        <w:autoSpaceDE/>
        <w:autoSpaceDN/>
        <w:bidi w:val="0"/>
        <w:adjustRightInd/>
        <w:snapToGrid/>
        <w:spacing w:before="100" w:beforeLines="0" w:after="100" w:afterLines="0" w:line="240" w:lineRule="auto"/>
        <w:ind w:firstLine="482" w:firstLineChars="200"/>
        <w:jc w:val="left"/>
        <w:textAlignment w:val="auto"/>
        <w:rPr>
          <w:rFonts w:hint="eastAsia" w:ascii="宋体" w:hAnsi="宋体"/>
          <w:sz w:val="24"/>
          <w:szCs w:val="24"/>
          <w:lang w:val="zh-CN"/>
        </w:rPr>
      </w:pPr>
      <w:r>
        <w:rPr>
          <w:rFonts w:hint="eastAsia" w:ascii="宋体" w:hAnsi="宋体"/>
          <w:b/>
          <w:sz w:val="24"/>
          <w:szCs w:val="24"/>
          <w:lang w:val="zh-CN"/>
        </w:rPr>
        <w:t>第五部分名词解释</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center"/>
        <w:textAlignment w:val="auto"/>
        <w:rPr>
          <w:rFonts w:hint="eastAsia" w:ascii="宋体" w:hAnsi="宋体"/>
          <w:sz w:val="24"/>
          <w:szCs w:val="24"/>
          <w:lang w:val="zh-CN"/>
        </w:rPr>
      </w:pP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center"/>
        <w:textAlignment w:val="auto"/>
        <w:rPr>
          <w:rFonts w:hint="eastAsia" w:ascii="宋体" w:hAnsi="宋体"/>
          <w:sz w:val="24"/>
          <w:szCs w:val="24"/>
          <w:lang w:val="zh-CN"/>
        </w:rPr>
      </w:pP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center"/>
        <w:textAlignment w:val="auto"/>
        <w:rPr>
          <w:rFonts w:hint="eastAsia" w:ascii="宋体" w:hAnsi="宋体"/>
          <w:sz w:val="24"/>
          <w:szCs w:val="24"/>
          <w:lang w:val="zh-CN"/>
        </w:rPr>
      </w:pP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center"/>
        <w:textAlignment w:val="auto"/>
        <w:rPr>
          <w:rFonts w:hint="eastAsia" w:ascii="宋体" w:hAnsi="宋体"/>
          <w:sz w:val="24"/>
          <w:szCs w:val="24"/>
          <w:lang w:val="zh-CN"/>
        </w:rPr>
      </w:pP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center"/>
        <w:textAlignment w:val="auto"/>
        <w:rPr>
          <w:rFonts w:hint="eastAsia" w:ascii="宋体" w:hAnsi="宋体"/>
          <w:sz w:val="24"/>
          <w:szCs w:val="24"/>
          <w:lang w:val="zh-CN"/>
        </w:rPr>
      </w:pP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center"/>
        <w:textAlignment w:val="auto"/>
        <w:rPr>
          <w:rFonts w:hint="eastAsia" w:ascii="宋体" w:hAnsi="宋体"/>
          <w:sz w:val="24"/>
          <w:szCs w:val="24"/>
          <w:lang w:val="zh-CN"/>
        </w:rPr>
      </w:pP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center"/>
        <w:textAlignment w:val="auto"/>
        <w:rPr>
          <w:rFonts w:hint="eastAsia" w:ascii="宋体" w:hAnsi="宋体"/>
          <w:sz w:val="24"/>
          <w:szCs w:val="24"/>
          <w:lang w:val="zh-CN"/>
        </w:rPr>
      </w:pPr>
    </w:p>
    <w:p>
      <w:pPr>
        <w:keepNext w:val="0"/>
        <w:keepLines w:val="0"/>
        <w:pageBreakBefore w:val="0"/>
        <w:widowControl/>
        <w:kinsoku/>
        <w:wordWrap/>
        <w:overflowPunct/>
        <w:topLinePunct w:val="0"/>
        <w:autoSpaceDE/>
        <w:autoSpaceDN/>
        <w:bidi w:val="0"/>
        <w:adjustRightInd/>
        <w:snapToGrid/>
        <w:spacing w:before="100" w:beforeLines="0" w:after="100" w:afterLines="0" w:line="240" w:lineRule="auto"/>
        <w:ind w:firstLine="0" w:firstLineChars="0"/>
        <w:jc w:val="center"/>
        <w:textAlignment w:val="auto"/>
        <w:rPr>
          <w:rFonts w:hint="eastAsia" w:ascii="宋体" w:hAnsi="宋体"/>
          <w:sz w:val="24"/>
          <w:szCs w:val="24"/>
          <w:lang w:val="zh-CN"/>
        </w:rPr>
      </w:pPr>
      <w:r>
        <w:rPr>
          <w:rFonts w:hint="eastAsia" w:ascii="宋体" w:hAnsi="宋体"/>
          <w:b/>
          <w:sz w:val="24"/>
          <w:szCs w:val="24"/>
          <w:lang w:val="zh-CN"/>
        </w:rPr>
        <w:t>第一部分部门概况</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一、部门职责</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我单位属全额拨款事业单位，隶属于华池县教育局</w:t>
      </w:r>
      <w:r>
        <w:rPr>
          <w:rFonts w:hint="eastAsia" w:ascii="宋体" w:hAnsi="宋体"/>
          <w:sz w:val="24"/>
          <w:szCs w:val="24"/>
          <w:lang w:val="en-US" w:eastAsia="zh-CN"/>
        </w:rPr>
        <w:t>的二级预算单位</w:t>
      </w:r>
      <w:r>
        <w:rPr>
          <w:rFonts w:hint="eastAsia" w:ascii="宋体" w:hAnsi="宋体"/>
          <w:sz w:val="24"/>
          <w:szCs w:val="24"/>
          <w:lang w:val="zh-CN"/>
        </w:rPr>
        <w:t>，主要负责普及本辖区内及周边附近乡</w:t>
      </w:r>
      <w:r>
        <w:rPr>
          <w:rFonts w:hint="eastAsia" w:ascii="宋体" w:hAnsi="宋体"/>
          <w:sz w:val="24"/>
          <w:szCs w:val="24"/>
          <w:lang w:val="en-US" w:eastAsia="zh-CN"/>
        </w:rPr>
        <w:t>镇</w:t>
      </w:r>
      <w:r>
        <w:rPr>
          <w:rFonts w:hint="eastAsia" w:ascii="宋体" w:hAnsi="宋体"/>
          <w:sz w:val="24"/>
          <w:szCs w:val="24"/>
          <w:lang w:val="zh-CN"/>
        </w:rPr>
        <w:t>村</w:t>
      </w:r>
      <w:r>
        <w:rPr>
          <w:rFonts w:hint="eastAsia" w:ascii="宋体" w:hAnsi="宋体"/>
          <w:sz w:val="24"/>
          <w:szCs w:val="24"/>
          <w:lang w:val="zh-CN" w:eastAsia="zh-CN"/>
        </w:rPr>
        <w:t>组</w:t>
      </w:r>
      <w:r>
        <w:rPr>
          <w:rFonts w:hint="eastAsia" w:ascii="宋体" w:hAnsi="宋体"/>
          <w:sz w:val="24"/>
          <w:szCs w:val="24"/>
          <w:lang w:val="zh-CN"/>
        </w:rPr>
        <w:t>适龄少年</w:t>
      </w:r>
      <w:r>
        <w:rPr>
          <w:rFonts w:hint="eastAsia" w:ascii="宋体" w:hAnsi="宋体"/>
          <w:sz w:val="24"/>
          <w:szCs w:val="24"/>
          <w:lang w:val="en-US" w:eastAsia="zh-CN"/>
        </w:rPr>
        <w:t>儿童</w:t>
      </w:r>
      <w:r>
        <w:rPr>
          <w:rFonts w:hint="eastAsia" w:ascii="宋体" w:hAnsi="宋体"/>
          <w:sz w:val="24"/>
          <w:szCs w:val="24"/>
          <w:lang w:val="zh-CN" w:eastAsia="zh-CN"/>
        </w:rPr>
        <w:t>小学阶段</w:t>
      </w:r>
      <w:r>
        <w:rPr>
          <w:rFonts w:hint="eastAsia" w:ascii="宋体" w:hAnsi="宋体"/>
          <w:sz w:val="24"/>
          <w:szCs w:val="24"/>
          <w:lang w:val="zh-CN"/>
        </w:rPr>
        <w:t>教育</w:t>
      </w:r>
      <w:r>
        <w:rPr>
          <w:rFonts w:hint="eastAsia" w:ascii="宋体" w:hAnsi="宋体"/>
          <w:sz w:val="24"/>
          <w:szCs w:val="24"/>
          <w:lang w:val="zh-CN" w:eastAsia="zh-CN"/>
        </w:rPr>
        <w:t>教学</w:t>
      </w:r>
      <w:r>
        <w:rPr>
          <w:rFonts w:hint="eastAsia" w:ascii="宋体" w:hAnsi="宋体"/>
          <w:sz w:val="24"/>
          <w:szCs w:val="24"/>
          <w:lang w:val="zh-CN"/>
        </w:rPr>
        <w:t>工作。</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二、机构设置</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sz w:val="24"/>
          <w:szCs w:val="24"/>
          <w:lang w:val="zh-CN"/>
        </w:rPr>
      </w:pPr>
      <w:r>
        <w:rPr>
          <w:rFonts w:hint="eastAsia" w:ascii="宋体" w:hAnsi="宋体"/>
          <w:sz w:val="24"/>
          <w:szCs w:val="24"/>
          <w:lang w:val="en-US" w:eastAsia="zh-CN"/>
        </w:rPr>
        <w:t>1、</w:t>
      </w:r>
      <w:r>
        <w:rPr>
          <w:rFonts w:hint="eastAsia" w:ascii="宋体" w:hAnsi="宋体"/>
          <w:sz w:val="24"/>
          <w:szCs w:val="24"/>
          <w:lang w:val="zh-CN"/>
        </w:rPr>
        <w:t>机关内设机构</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sz w:val="24"/>
          <w:szCs w:val="24"/>
          <w:lang w:val="zh-CN"/>
        </w:rPr>
      </w:pPr>
      <w:r>
        <w:rPr>
          <w:rFonts w:hint="eastAsia" w:ascii="宋体" w:hAnsi="宋体"/>
          <w:sz w:val="24"/>
          <w:szCs w:val="24"/>
          <w:lang w:val="en-US" w:eastAsia="zh-CN"/>
        </w:rPr>
        <w:t>华池县乔河乡乔河小学</w:t>
      </w:r>
      <w:r>
        <w:rPr>
          <w:rFonts w:hint="eastAsia" w:ascii="宋体" w:hAnsi="宋体"/>
          <w:sz w:val="24"/>
          <w:szCs w:val="24"/>
          <w:lang w:val="zh-CN"/>
        </w:rPr>
        <w:t>内设</w:t>
      </w:r>
      <w:r>
        <w:rPr>
          <w:rFonts w:hint="eastAsia" w:ascii="宋体" w:hAnsi="宋体"/>
          <w:sz w:val="24"/>
          <w:szCs w:val="24"/>
          <w:lang w:val="en-US" w:eastAsia="zh-CN"/>
        </w:rPr>
        <w:t>3</w:t>
      </w:r>
      <w:r>
        <w:rPr>
          <w:rFonts w:hint="eastAsia" w:ascii="宋体" w:hAnsi="宋体"/>
          <w:sz w:val="24"/>
          <w:szCs w:val="24"/>
          <w:lang w:val="zh-CN"/>
        </w:rPr>
        <w:t>个职能</w:t>
      </w:r>
      <w:r>
        <w:rPr>
          <w:rFonts w:hint="eastAsia" w:ascii="宋体" w:hAnsi="宋体"/>
          <w:sz w:val="24"/>
          <w:szCs w:val="24"/>
          <w:lang w:val="zh-CN" w:eastAsia="zh-CN"/>
        </w:rPr>
        <w:t>股室</w:t>
      </w:r>
      <w:r>
        <w:rPr>
          <w:rFonts w:hint="eastAsia" w:ascii="宋体" w:hAnsi="宋体"/>
          <w:sz w:val="24"/>
          <w:szCs w:val="24"/>
          <w:lang w:val="zh-CN"/>
        </w:rPr>
        <w:t>,包括:办公室、</w:t>
      </w:r>
      <w:r>
        <w:rPr>
          <w:rFonts w:hint="eastAsia" w:ascii="宋体" w:hAnsi="宋体"/>
          <w:sz w:val="24"/>
          <w:szCs w:val="24"/>
          <w:lang w:val="en-US" w:eastAsia="zh-CN"/>
        </w:rPr>
        <w:t>教务处</w:t>
      </w:r>
      <w:r>
        <w:rPr>
          <w:rFonts w:hint="eastAsia" w:ascii="宋体" w:hAnsi="宋体"/>
          <w:sz w:val="24"/>
          <w:szCs w:val="24"/>
          <w:lang w:val="zh-CN"/>
        </w:rPr>
        <w:t>、</w:t>
      </w:r>
      <w:r>
        <w:rPr>
          <w:rFonts w:hint="eastAsia" w:ascii="宋体" w:hAnsi="宋体"/>
          <w:sz w:val="24"/>
          <w:szCs w:val="24"/>
          <w:lang w:val="en-US" w:eastAsia="zh-CN"/>
        </w:rPr>
        <w:t>政教处</w:t>
      </w:r>
      <w:r>
        <w:rPr>
          <w:rFonts w:hint="eastAsia" w:ascii="宋体" w:hAnsi="宋体"/>
          <w:sz w:val="24"/>
          <w:szCs w:val="24"/>
          <w:lang w:val="zh-CN"/>
        </w:rPr>
        <w:t>。</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sz w:val="24"/>
          <w:szCs w:val="24"/>
          <w:lang w:val="zh-CN" w:eastAsia="zh-CN"/>
        </w:rPr>
      </w:pPr>
      <w:r>
        <w:rPr>
          <w:rFonts w:hint="eastAsia" w:ascii="宋体" w:hAnsi="宋体"/>
          <w:sz w:val="24"/>
          <w:szCs w:val="24"/>
          <w:lang w:val="en-US" w:eastAsia="zh-CN"/>
        </w:rPr>
        <w:t>2、</w:t>
      </w:r>
      <w:r>
        <w:rPr>
          <w:rFonts w:hint="eastAsia" w:ascii="宋体" w:hAnsi="宋体"/>
          <w:sz w:val="24"/>
          <w:szCs w:val="24"/>
          <w:lang w:val="zh-CN" w:eastAsia="zh-CN"/>
        </w:rPr>
        <w:t>人员情况</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20</w:t>
      </w:r>
      <w:r>
        <w:rPr>
          <w:rFonts w:hint="eastAsia" w:ascii="宋体" w:hAnsi="宋体"/>
          <w:sz w:val="24"/>
          <w:szCs w:val="24"/>
          <w:lang w:val="en-US" w:eastAsia="zh-CN"/>
        </w:rPr>
        <w:t>23</w:t>
      </w:r>
      <w:r>
        <w:rPr>
          <w:rFonts w:hint="eastAsia" w:ascii="宋体" w:hAnsi="宋体"/>
          <w:sz w:val="24"/>
          <w:szCs w:val="24"/>
          <w:lang w:val="zh-CN"/>
        </w:rPr>
        <w:t>年度，我</w:t>
      </w:r>
      <w:r>
        <w:rPr>
          <w:rFonts w:hint="eastAsia" w:ascii="宋体" w:hAnsi="宋体"/>
          <w:sz w:val="24"/>
          <w:szCs w:val="24"/>
          <w:lang w:val="zh-CN" w:eastAsia="zh-CN"/>
        </w:rPr>
        <w:t>单位</w:t>
      </w:r>
      <w:r>
        <w:rPr>
          <w:rFonts w:hint="eastAsia" w:ascii="宋体" w:hAnsi="宋体"/>
          <w:sz w:val="24"/>
          <w:szCs w:val="24"/>
          <w:lang w:val="zh-CN"/>
        </w:rPr>
        <w:t>共有</w:t>
      </w:r>
      <w:r>
        <w:rPr>
          <w:rFonts w:hint="eastAsia" w:ascii="宋体" w:hAnsi="宋体"/>
          <w:sz w:val="24"/>
          <w:szCs w:val="24"/>
          <w:lang w:val="zh-CN" w:eastAsia="zh-CN"/>
        </w:rPr>
        <w:t>编制</w:t>
      </w:r>
      <w:r>
        <w:rPr>
          <w:rFonts w:hint="eastAsia" w:ascii="宋体" w:hAnsi="宋体"/>
          <w:sz w:val="24"/>
          <w:szCs w:val="24"/>
          <w:lang w:val="en-US" w:eastAsia="zh-CN"/>
        </w:rPr>
        <w:t>26名，其中：</w:t>
      </w:r>
      <w:r>
        <w:rPr>
          <w:rFonts w:hint="eastAsia" w:ascii="宋体" w:hAnsi="宋体"/>
          <w:sz w:val="24"/>
          <w:szCs w:val="24"/>
          <w:lang w:val="zh-CN"/>
        </w:rPr>
        <w:t>行政编制</w:t>
      </w:r>
      <w:r>
        <w:rPr>
          <w:rFonts w:hint="eastAsia" w:ascii="宋体" w:hAnsi="宋体"/>
          <w:sz w:val="24"/>
          <w:szCs w:val="24"/>
          <w:lang w:val="en-US" w:eastAsia="zh-CN"/>
        </w:rPr>
        <w:t>0</w:t>
      </w:r>
      <w:r>
        <w:rPr>
          <w:rFonts w:hint="eastAsia" w:ascii="宋体" w:hAnsi="宋体"/>
          <w:sz w:val="24"/>
          <w:szCs w:val="24"/>
          <w:lang w:val="zh-CN"/>
        </w:rPr>
        <w:t>名，参公事业编制</w:t>
      </w:r>
      <w:r>
        <w:rPr>
          <w:rFonts w:hint="eastAsia" w:ascii="宋体" w:hAnsi="宋体"/>
          <w:sz w:val="24"/>
          <w:szCs w:val="24"/>
          <w:lang w:val="en-US" w:eastAsia="zh-CN"/>
        </w:rPr>
        <w:t>0</w:t>
      </w:r>
      <w:r>
        <w:rPr>
          <w:rFonts w:hint="eastAsia" w:ascii="宋体" w:hAnsi="宋体"/>
          <w:sz w:val="24"/>
          <w:szCs w:val="24"/>
          <w:lang w:val="zh-CN"/>
        </w:rPr>
        <w:t>名，事业编制</w:t>
      </w:r>
      <w:r>
        <w:rPr>
          <w:rFonts w:hint="eastAsia" w:ascii="宋体" w:hAnsi="宋体"/>
          <w:sz w:val="24"/>
          <w:szCs w:val="24"/>
          <w:lang w:val="en-US" w:eastAsia="zh-CN"/>
        </w:rPr>
        <w:t>26</w:t>
      </w:r>
      <w:r>
        <w:rPr>
          <w:rFonts w:hint="eastAsia" w:ascii="宋体" w:hAnsi="宋体"/>
          <w:sz w:val="24"/>
          <w:szCs w:val="24"/>
          <w:lang w:val="zh-CN"/>
        </w:rPr>
        <w:t>名，后勤编制</w:t>
      </w:r>
      <w:r>
        <w:rPr>
          <w:rFonts w:hint="eastAsia" w:ascii="宋体" w:hAnsi="宋体"/>
          <w:sz w:val="24"/>
          <w:szCs w:val="24"/>
          <w:lang w:val="en-US" w:eastAsia="zh-CN"/>
        </w:rPr>
        <w:t>0</w:t>
      </w:r>
      <w:r>
        <w:rPr>
          <w:rFonts w:hint="eastAsia" w:ascii="宋体" w:hAnsi="宋体"/>
          <w:sz w:val="24"/>
          <w:szCs w:val="24"/>
          <w:lang w:val="zh-CN"/>
        </w:rPr>
        <w:t>名</w:t>
      </w:r>
      <w:r>
        <w:rPr>
          <w:rFonts w:hint="eastAsia" w:ascii="宋体" w:hAnsi="宋体"/>
          <w:sz w:val="24"/>
          <w:szCs w:val="24"/>
          <w:lang w:val="zh-CN" w:eastAsia="zh-CN"/>
        </w:rPr>
        <w:t>。</w:t>
      </w:r>
      <w:r>
        <w:rPr>
          <w:rFonts w:hint="eastAsia" w:ascii="宋体" w:hAnsi="宋体"/>
          <w:sz w:val="24"/>
          <w:szCs w:val="24"/>
          <w:lang w:val="zh-CN"/>
        </w:rPr>
        <w:t>财政供养总人数</w:t>
      </w:r>
      <w:r>
        <w:rPr>
          <w:rFonts w:hint="eastAsia" w:ascii="宋体" w:hAnsi="宋体"/>
          <w:sz w:val="24"/>
          <w:szCs w:val="24"/>
          <w:lang w:val="en-US" w:eastAsia="zh-CN"/>
        </w:rPr>
        <w:t>39</w:t>
      </w:r>
      <w:r>
        <w:rPr>
          <w:rFonts w:hint="eastAsia" w:ascii="宋体" w:hAnsi="宋体"/>
          <w:sz w:val="24"/>
          <w:szCs w:val="24"/>
          <w:lang w:val="zh-CN"/>
        </w:rPr>
        <w:t>人，其中</w:t>
      </w:r>
      <w:r>
        <w:rPr>
          <w:rFonts w:hint="eastAsia" w:ascii="宋体" w:hAnsi="宋体"/>
          <w:sz w:val="24"/>
          <w:szCs w:val="24"/>
          <w:lang w:val="zh-CN" w:eastAsia="zh-CN"/>
        </w:rPr>
        <w:t>：</w:t>
      </w:r>
      <w:r>
        <w:rPr>
          <w:rFonts w:hint="eastAsia" w:ascii="宋体" w:hAnsi="宋体"/>
          <w:sz w:val="24"/>
          <w:szCs w:val="24"/>
          <w:lang w:val="zh-CN"/>
        </w:rPr>
        <w:t>在职人员</w:t>
      </w:r>
      <w:r>
        <w:rPr>
          <w:rFonts w:hint="eastAsia" w:ascii="宋体" w:hAnsi="宋体"/>
          <w:sz w:val="24"/>
          <w:szCs w:val="24"/>
          <w:lang w:val="en-US" w:eastAsia="zh-CN"/>
        </w:rPr>
        <w:t>39</w:t>
      </w:r>
      <w:r>
        <w:rPr>
          <w:rFonts w:hint="eastAsia" w:ascii="宋体" w:hAnsi="宋体"/>
          <w:sz w:val="24"/>
          <w:szCs w:val="24"/>
          <w:lang w:val="zh-CN"/>
        </w:rPr>
        <w:t>人，</w:t>
      </w:r>
      <w:r>
        <w:rPr>
          <w:rFonts w:hint="eastAsia" w:ascii="宋体" w:hAnsi="宋体"/>
          <w:sz w:val="24"/>
          <w:szCs w:val="24"/>
          <w:lang w:val="zh-CN" w:eastAsia="zh-CN"/>
        </w:rPr>
        <w:t>雇佣人员</w:t>
      </w:r>
      <w:r>
        <w:rPr>
          <w:rFonts w:hint="eastAsia" w:ascii="宋体" w:hAnsi="宋体"/>
          <w:sz w:val="24"/>
          <w:szCs w:val="24"/>
          <w:lang w:val="en-US" w:eastAsia="zh-CN"/>
        </w:rPr>
        <w:t>0人，</w:t>
      </w:r>
      <w:r>
        <w:rPr>
          <w:rFonts w:hint="eastAsia" w:ascii="宋体" w:hAnsi="宋体"/>
          <w:sz w:val="24"/>
          <w:szCs w:val="24"/>
          <w:lang w:val="zh-CN"/>
        </w:rPr>
        <w:t>离退休</w:t>
      </w:r>
      <w:r>
        <w:rPr>
          <w:rFonts w:hint="eastAsia" w:ascii="宋体" w:hAnsi="宋体"/>
          <w:sz w:val="24"/>
          <w:szCs w:val="24"/>
          <w:lang w:val="en-US" w:eastAsia="zh-CN"/>
        </w:rPr>
        <w:t>19</w:t>
      </w:r>
      <w:r>
        <w:rPr>
          <w:rFonts w:hint="eastAsia" w:ascii="宋体" w:hAnsi="宋体"/>
          <w:sz w:val="24"/>
          <w:szCs w:val="24"/>
          <w:lang w:val="zh-CN"/>
        </w:rPr>
        <w:t>人，</w:t>
      </w:r>
      <w:r>
        <w:rPr>
          <w:rFonts w:hint="eastAsia" w:ascii="宋体" w:hAnsi="宋体"/>
          <w:sz w:val="24"/>
          <w:szCs w:val="24"/>
          <w:lang w:val="zh-CN" w:eastAsia="zh-CN"/>
        </w:rPr>
        <w:t>遗属</w:t>
      </w:r>
      <w:r>
        <w:rPr>
          <w:rFonts w:hint="eastAsia" w:ascii="宋体" w:hAnsi="宋体"/>
          <w:sz w:val="24"/>
          <w:szCs w:val="24"/>
          <w:lang w:val="en-US" w:eastAsia="zh-CN"/>
        </w:rPr>
        <w:t>2</w:t>
      </w:r>
      <w:r>
        <w:rPr>
          <w:rFonts w:hint="eastAsia" w:ascii="宋体" w:hAnsi="宋体"/>
          <w:sz w:val="24"/>
          <w:szCs w:val="24"/>
          <w:lang w:val="zh-CN"/>
        </w:rPr>
        <w:t>人。</w:t>
      </w:r>
    </w:p>
    <w:p>
      <w:pPr>
        <w:keepNext w:val="0"/>
        <w:keepLines w:val="0"/>
        <w:pageBreakBefore w:val="0"/>
        <w:widowControl/>
        <w:kinsoku/>
        <w:wordWrap/>
        <w:overflowPunct/>
        <w:topLinePunct w:val="0"/>
        <w:autoSpaceDE/>
        <w:autoSpaceDN/>
        <w:bidi w:val="0"/>
        <w:adjustRightInd/>
        <w:snapToGrid/>
        <w:spacing w:before="100" w:beforeLines="0" w:after="100" w:afterLines="0" w:line="240" w:lineRule="auto"/>
        <w:ind w:firstLine="0" w:firstLineChars="0"/>
        <w:jc w:val="center"/>
        <w:textAlignment w:val="auto"/>
        <w:rPr>
          <w:rFonts w:hint="eastAsia" w:ascii="宋体" w:hAnsi="宋体"/>
          <w:color w:val="auto"/>
          <w:sz w:val="24"/>
          <w:szCs w:val="24"/>
          <w:lang w:val="zh-CN"/>
        </w:rPr>
      </w:pPr>
      <w:r>
        <w:rPr>
          <w:rFonts w:hint="eastAsia" w:ascii="宋体" w:hAnsi="宋体"/>
          <w:b/>
          <w:color w:val="auto"/>
          <w:sz w:val="24"/>
          <w:szCs w:val="24"/>
          <w:lang w:val="zh-CN"/>
        </w:rPr>
        <w:t>第二部分2023年度部门决算表</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一、收入支出决算总表</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二、收入决算表</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三、支出决算表</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四、财政拨款收入支出决算总表</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五、一般公共预算财政拨款支出决算表</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六、一般公共预算财政拨款基本支出决算明细表</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七、政府性基金预算财政拨款收入支出决算表</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八、国有资本经营预算财政拨款支出决算表</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九、财政拨款</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经费支出决算表</w:t>
      </w:r>
    </w:p>
    <w:p>
      <w:pPr>
        <w:keepNext w:val="0"/>
        <w:keepLines w:val="0"/>
        <w:pageBreakBefore w:val="0"/>
        <w:widowControl/>
        <w:kinsoku/>
        <w:wordWrap/>
        <w:overflowPunct/>
        <w:topLinePunct w:val="0"/>
        <w:autoSpaceDE/>
        <w:autoSpaceDN/>
        <w:bidi w:val="0"/>
        <w:adjustRightInd/>
        <w:snapToGrid/>
        <w:spacing w:before="100" w:beforeLines="0" w:after="100" w:afterLines="0" w:line="240" w:lineRule="auto"/>
        <w:ind w:firstLine="0" w:firstLineChars="0"/>
        <w:jc w:val="center"/>
        <w:textAlignment w:val="auto"/>
        <w:rPr>
          <w:rFonts w:hint="eastAsia" w:ascii="宋体" w:hAnsi="宋体"/>
          <w:color w:val="auto"/>
          <w:sz w:val="24"/>
          <w:szCs w:val="24"/>
          <w:lang w:val="zh-CN"/>
        </w:rPr>
      </w:pPr>
      <w:r>
        <w:rPr>
          <w:rFonts w:hint="eastAsia" w:ascii="宋体" w:hAnsi="宋体"/>
          <w:b/>
          <w:color w:val="auto"/>
          <w:sz w:val="24"/>
          <w:szCs w:val="24"/>
          <w:lang w:val="zh-CN"/>
        </w:rPr>
        <w:t>第三部分2023年度部门决算情况说明</w:t>
      </w:r>
    </w:p>
    <w:p>
      <w:pPr>
        <w:pageBreakBefore w:val="0"/>
        <w:kinsoku/>
        <w:wordWrap/>
        <w:overflowPunct/>
        <w:topLinePunct w:val="0"/>
        <w:autoSpaceDE/>
        <w:autoSpaceDN/>
        <w:bidi w:val="0"/>
        <w:adjustRightInd/>
        <w:snapToGrid/>
        <w:spacing w:before="100" w:beforeLines="0" w:after="100" w:afterLines="0" w:line="240" w:lineRule="auto"/>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一、收入支出决算总体情况说明</w:t>
      </w:r>
    </w:p>
    <w:p>
      <w:pPr>
        <w:pageBreakBefore w:val="0"/>
        <w:widowControl/>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2023年度收、支总计</w:t>
      </w:r>
      <w:r>
        <w:rPr>
          <w:rFonts w:hint="eastAsia" w:ascii="宋体" w:hAnsi="宋体"/>
          <w:color w:val="auto"/>
          <w:sz w:val="24"/>
          <w:szCs w:val="24"/>
          <w:lang w:val="en-US"/>
        </w:rPr>
        <w:t>均为</w:t>
      </w:r>
      <w:r>
        <w:rPr>
          <w:rFonts w:hint="eastAsia" w:ascii="宋体" w:hAnsi="宋体"/>
          <w:color w:val="auto"/>
          <w:sz w:val="24"/>
          <w:szCs w:val="24"/>
          <w:lang w:val="zh-CN"/>
        </w:rPr>
        <w:t>713.28万元。</w:t>
      </w:r>
      <w:r>
        <w:rPr>
          <w:rFonts w:hint="eastAsia" w:ascii="宋体" w:hAnsi="宋体"/>
          <w:color w:val="auto"/>
          <w:sz w:val="24"/>
          <w:szCs w:val="24"/>
          <w:lang w:val="en-US"/>
        </w:rPr>
        <w:t>与上年度相比,</w:t>
      </w:r>
      <w:r>
        <w:rPr>
          <w:rFonts w:hint="eastAsia" w:ascii="宋体" w:hAnsi="宋体"/>
          <w:color w:val="auto"/>
          <w:sz w:val="24"/>
          <w:szCs w:val="24"/>
          <w:lang w:val="zh-CN"/>
        </w:rPr>
        <w:t>收、支</w:t>
      </w:r>
      <w:r>
        <w:rPr>
          <w:rFonts w:hint="eastAsia" w:ascii="宋体" w:hAnsi="宋体"/>
          <w:color w:val="auto"/>
          <w:sz w:val="24"/>
          <w:szCs w:val="24"/>
          <w:lang w:val="en-US"/>
        </w:rPr>
        <w:t>总计各</w:t>
      </w:r>
      <w:r>
        <w:rPr>
          <w:rFonts w:hint="eastAsia" w:ascii="宋体" w:hAnsi="宋体"/>
          <w:color w:val="auto"/>
          <w:sz w:val="24"/>
          <w:szCs w:val="24"/>
          <w:lang w:val="zh-CN"/>
        </w:rPr>
        <w:t>减少55.94万元,下降7.27%,</w:t>
      </w:r>
      <w:r>
        <w:rPr>
          <w:rFonts w:hint="eastAsia" w:ascii="宋体" w:hAnsi="宋体"/>
          <w:color w:val="FF0000"/>
          <w:sz w:val="24"/>
          <w:szCs w:val="24"/>
          <w:lang w:val="zh-CN"/>
        </w:rPr>
        <w:t>主要原因是</w:t>
      </w:r>
      <w:r>
        <w:rPr>
          <w:rFonts w:hint="eastAsia" w:ascii="宋体" w:hAnsi="宋体"/>
          <w:color w:val="auto"/>
          <w:sz w:val="24"/>
          <w:szCs w:val="24"/>
          <w:lang w:val="zh-CN"/>
        </w:rPr>
        <w:t>上年结转经费支出</w:t>
      </w:r>
      <w:r>
        <w:rPr>
          <w:rFonts w:hint="eastAsia" w:ascii="宋体" w:hAnsi="宋体"/>
          <w:color w:val="auto"/>
          <w:sz w:val="24"/>
          <w:szCs w:val="24"/>
          <w:lang w:val="en-US" w:eastAsia="zh-CN"/>
        </w:rPr>
        <w:t>减少，单位人员部分调出</w:t>
      </w:r>
      <w:r>
        <w:rPr>
          <w:rFonts w:hint="eastAsia" w:ascii="宋体" w:hAnsi="宋体"/>
          <w:color w:val="auto"/>
          <w:sz w:val="24"/>
          <w:szCs w:val="24"/>
          <w:lang w:val="zh-CN"/>
        </w:rPr>
        <w:t>。</w:t>
      </w:r>
    </w:p>
    <w:p>
      <w:pPr>
        <w:pageBreakBefore w:val="0"/>
        <w:kinsoku/>
        <w:wordWrap/>
        <w:overflowPunct/>
        <w:topLinePunct w:val="0"/>
        <w:autoSpaceDE/>
        <w:autoSpaceDN/>
        <w:bidi w:val="0"/>
        <w:adjustRightInd/>
        <w:snapToGrid/>
        <w:spacing w:before="100" w:beforeLines="0" w:after="100" w:afterLines="0" w:line="240" w:lineRule="auto"/>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二、收入决算情况说明</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2023年度收入合计713.28万元,其中：财政拨款收入713.28万元,占100.00%。</w:t>
      </w:r>
    </w:p>
    <w:p>
      <w:pPr>
        <w:pageBreakBefore w:val="0"/>
        <w:kinsoku/>
        <w:wordWrap/>
        <w:overflowPunct/>
        <w:topLinePunct w:val="0"/>
        <w:autoSpaceDE/>
        <w:autoSpaceDN/>
        <w:bidi w:val="0"/>
        <w:adjustRightInd/>
        <w:snapToGrid/>
        <w:spacing w:before="100" w:beforeLines="0" w:after="100" w:afterLines="0" w:line="240" w:lineRule="auto"/>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三、支出决算情况说明</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2023年度支出合计713.28万元,其中：基本支出656.17万元,占91.99%；项目支出57.11万元,占8.01%。</w:t>
      </w:r>
    </w:p>
    <w:p>
      <w:pPr>
        <w:pageBreakBefore w:val="0"/>
        <w:kinsoku/>
        <w:wordWrap/>
        <w:overflowPunct/>
        <w:topLinePunct w:val="0"/>
        <w:autoSpaceDE/>
        <w:autoSpaceDN/>
        <w:bidi w:val="0"/>
        <w:adjustRightInd/>
        <w:snapToGrid/>
        <w:spacing w:before="100" w:beforeLines="0" w:after="100" w:afterLines="0" w:line="240" w:lineRule="auto"/>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四、财政拨款收入支出决算总体情况说明</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2023年度财政拨款收、支总计</w:t>
      </w:r>
      <w:r>
        <w:rPr>
          <w:rFonts w:hint="eastAsia" w:ascii="宋体" w:hAnsi="宋体"/>
          <w:color w:val="auto"/>
          <w:sz w:val="24"/>
          <w:szCs w:val="24"/>
          <w:lang w:val="en-US"/>
        </w:rPr>
        <w:t>均为</w:t>
      </w:r>
      <w:r>
        <w:rPr>
          <w:rFonts w:hint="eastAsia" w:ascii="宋体" w:hAnsi="宋体"/>
          <w:color w:val="auto"/>
          <w:sz w:val="24"/>
          <w:szCs w:val="24"/>
          <w:lang w:val="zh-CN"/>
        </w:rPr>
        <w:t>713.28万元。与</w:t>
      </w:r>
      <w:r>
        <w:rPr>
          <w:rFonts w:hint="eastAsia" w:ascii="宋体" w:hAnsi="宋体"/>
          <w:color w:val="auto"/>
          <w:sz w:val="24"/>
          <w:szCs w:val="24"/>
          <w:lang w:val="en-US"/>
        </w:rPr>
        <w:t>上</w:t>
      </w:r>
      <w:r>
        <w:rPr>
          <w:rFonts w:hint="eastAsia" w:ascii="宋体" w:hAnsi="宋体"/>
          <w:color w:val="auto"/>
          <w:sz w:val="24"/>
          <w:szCs w:val="24"/>
          <w:lang w:val="zh-CN"/>
        </w:rPr>
        <w:t>年相比,各减少55.94万元,下降7.27%。</w:t>
      </w:r>
      <w:r>
        <w:rPr>
          <w:rFonts w:hint="eastAsia" w:ascii="宋体" w:hAnsi="宋体"/>
          <w:color w:val="FF0000"/>
          <w:sz w:val="24"/>
          <w:szCs w:val="24"/>
          <w:lang w:val="zh-CN"/>
        </w:rPr>
        <w:t>主要原因是</w:t>
      </w:r>
      <w:r>
        <w:rPr>
          <w:rFonts w:hint="eastAsia" w:ascii="宋体" w:hAnsi="宋体"/>
          <w:color w:val="auto"/>
          <w:sz w:val="24"/>
          <w:szCs w:val="24"/>
          <w:lang w:val="zh-CN"/>
        </w:rPr>
        <w:t>上年结转经费支出</w:t>
      </w:r>
      <w:r>
        <w:rPr>
          <w:rFonts w:hint="eastAsia" w:ascii="宋体" w:hAnsi="宋体"/>
          <w:color w:val="auto"/>
          <w:sz w:val="24"/>
          <w:szCs w:val="24"/>
          <w:lang w:val="en-US" w:eastAsia="zh-CN"/>
        </w:rPr>
        <w:t>减少，单位人员部分调出</w:t>
      </w:r>
      <w:r>
        <w:rPr>
          <w:rFonts w:hint="eastAsia" w:ascii="宋体" w:hAnsi="宋体"/>
          <w:color w:val="auto"/>
          <w:sz w:val="24"/>
          <w:szCs w:val="24"/>
          <w:lang w:val="zh-CN"/>
        </w:rPr>
        <w:t>。</w:t>
      </w:r>
      <w:r>
        <w:rPr>
          <w:rFonts w:hint="eastAsia" w:ascii="宋体" w:hAnsi="宋体"/>
          <w:color w:val="FF0000"/>
          <w:sz w:val="24"/>
          <w:szCs w:val="24"/>
          <w:lang w:val="zh-CN"/>
        </w:rPr>
        <w:t>。</w:t>
      </w:r>
    </w:p>
    <w:p>
      <w:pPr>
        <w:pageBreakBefore w:val="0"/>
        <w:kinsoku/>
        <w:wordWrap/>
        <w:overflowPunct/>
        <w:topLinePunct w:val="0"/>
        <w:autoSpaceDE/>
        <w:autoSpaceDN/>
        <w:bidi w:val="0"/>
        <w:adjustRightInd/>
        <w:snapToGrid/>
        <w:spacing w:before="100" w:beforeLines="0" w:after="100" w:afterLines="0" w:line="240" w:lineRule="auto"/>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五、一般公共预算财政拨款支出决算情况说明</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（一）一般公共预算财政拨款支出决算总体情况</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color w:val="FF0000"/>
          <w:sz w:val="24"/>
          <w:szCs w:val="24"/>
          <w:lang w:val="zh-CN"/>
        </w:rPr>
      </w:pPr>
      <w:r>
        <w:rPr>
          <w:rFonts w:hint="eastAsia" w:ascii="宋体" w:hAnsi="宋体"/>
          <w:color w:val="auto"/>
          <w:sz w:val="24"/>
          <w:szCs w:val="24"/>
          <w:lang w:val="zh-CN"/>
        </w:rPr>
        <w:t>2023年度一般公共预算财政拨款支出713.28万元,较上年决算数增加65.03万元,增长10.03%。主要</w:t>
      </w:r>
      <w:r>
        <w:rPr>
          <w:rFonts w:hint="eastAsia" w:ascii="宋体" w:hAnsi="宋体"/>
          <w:color w:val="FF0000"/>
          <w:sz w:val="24"/>
          <w:szCs w:val="24"/>
          <w:lang w:val="zh-CN"/>
        </w:rPr>
        <w:t>原因是</w:t>
      </w:r>
      <w:r>
        <w:rPr>
          <w:rFonts w:hint="eastAsia" w:ascii="宋体" w:hAnsi="宋体"/>
          <w:color w:val="FF0000"/>
          <w:sz w:val="24"/>
          <w:szCs w:val="24"/>
          <w:lang w:val="en-US" w:eastAsia="zh-CN"/>
        </w:rPr>
        <w:t>教育支出和社会保障和就业支出增加</w:t>
      </w:r>
      <w:r>
        <w:rPr>
          <w:rFonts w:hint="eastAsia" w:ascii="宋体" w:hAnsi="宋体"/>
          <w:color w:val="FF0000"/>
          <w:sz w:val="24"/>
          <w:szCs w:val="24"/>
          <w:lang w:val="zh-CN"/>
        </w:rPr>
        <w:t>。</w:t>
      </w:r>
    </w:p>
    <w:p>
      <w:pPr>
        <w:pageBreakBefore w:val="0"/>
        <w:numPr>
          <w:ilvl w:val="0"/>
          <w:numId w:val="1"/>
        </w:numPr>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一般公共预算财政拨款支出决算结构情况</w:t>
      </w:r>
    </w:p>
    <w:p>
      <w:pPr>
        <w:pageBreakBefore w:val="0"/>
        <w:numPr>
          <w:ilvl w:val="0"/>
          <w:numId w:val="0"/>
        </w:numPr>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color w:val="auto"/>
          <w:sz w:val="24"/>
          <w:szCs w:val="24"/>
          <w:lang w:val="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w:t>
      </w:r>
      <w:r>
        <w:rPr>
          <w:rFonts w:hint="eastAsia" w:ascii="宋体" w:hAnsi="宋体"/>
          <w:color w:val="auto"/>
          <w:sz w:val="24"/>
          <w:szCs w:val="24"/>
          <w:lang w:val="zh-CN"/>
        </w:rPr>
        <w:t>713.28万元，主要用于以下方面教育支出633.01万元,占88.75%；社会保障和就业支出46.18万元,占6.47%；卫生健康支出34.09万元,占4.78%。</w:t>
      </w:r>
    </w:p>
    <w:p>
      <w:pPr>
        <w:pageBreakBefore w:val="0"/>
        <w:numPr>
          <w:ilvl w:val="0"/>
          <w:numId w:val="1"/>
        </w:numPr>
        <w:kinsoku/>
        <w:wordWrap/>
        <w:overflowPunct/>
        <w:topLinePunct w:val="0"/>
        <w:autoSpaceDE/>
        <w:autoSpaceDN/>
        <w:bidi w:val="0"/>
        <w:adjustRightInd/>
        <w:snapToGrid/>
        <w:spacing w:before="100" w:beforeLines="0" w:after="100" w:afterLines="0" w:line="240" w:lineRule="auto"/>
        <w:ind w:left="0" w:leftChars="0" w:firstLine="480"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一般公共预算财政拨款支出决算具体情况。</w:t>
      </w:r>
    </w:p>
    <w:p>
      <w:pPr>
        <w:pageBreakBefore w:val="0"/>
        <w:numPr>
          <w:ilvl w:val="0"/>
          <w:numId w:val="0"/>
        </w:numPr>
        <w:kinsoku/>
        <w:wordWrap/>
        <w:overflowPunct/>
        <w:topLinePunct w:val="0"/>
        <w:autoSpaceDE/>
        <w:autoSpaceDN/>
        <w:bidi w:val="0"/>
        <w:adjustRightInd/>
        <w:snapToGrid/>
        <w:spacing w:before="100" w:beforeLines="0" w:after="100" w:afterLines="0" w:line="240" w:lineRule="auto"/>
        <w:ind w:leftChars="0" w:firstLine="480" w:firstLineChars="200"/>
        <w:jc w:val="left"/>
        <w:textAlignment w:val="auto"/>
        <w:rPr>
          <w:rFonts w:hint="eastAsia" w:ascii="宋体" w:hAnsi="宋体"/>
          <w:color w:val="auto"/>
          <w:sz w:val="24"/>
          <w:szCs w:val="24"/>
          <w:lang w:val="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2023年度一般公共预算财政拨款支出年初预算为</w:t>
      </w:r>
      <w:r>
        <w:rPr>
          <w:rFonts w:hint="eastAsia" w:ascii="宋体" w:hAnsi="宋体"/>
          <w:color w:val="auto"/>
          <w:sz w:val="24"/>
          <w:szCs w:val="24"/>
          <w:lang w:val="zh-CN"/>
        </w:rPr>
        <w:t>614.59万元,支出决算为713.28万元,完成年初预算的116.06%。其中：</w:t>
      </w:r>
    </w:p>
    <w:p>
      <w:pPr>
        <w:pageBreakBefore w:val="0"/>
        <w:kinsoku/>
        <w:wordWrap/>
        <w:overflowPunct/>
        <w:topLinePunct w:val="0"/>
        <w:autoSpaceDE/>
        <w:autoSpaceDN/>
        <w:bidi w:val="0"/>
        <w:adjustRightInd/>
        <w:snapToGrid/>
        <w:spacing w:before="100" w:beforeLines="0" w:after="100" w:afterLines="0" w:line="240" w:lineRule="auto"/>
        <w:ind w:firstLine="482" w:firstLineChars="200"/>
        <w:jc w:val="left"/>
        <w:textAlignment w:val="auto"/>
        <w:rPr>
          <w:rFonts w:hint="eastAsia" w:ascii="宋体" w:hAnsi="宋体"/>
          <w:color w:val="FF0000"/>
          <w:sz w:val="24"/>
          <w:szCs w:val="24"/>
          <w:lang w:val="zh-CN"/>
        </w:rPr>
      </w:pPr>
      <w:r>
        <w:rPr>
          <w:rFonts w:hint="eastAsia" w:ascii="Times New Roman" w:hAnsi="Times New Roman" w:eastAsia="宋体"/>
          <w:b/>
          <w:color w:val="auto"/>
          <w:sz w:val="24"/>
          <w:szCs w:val="24"/>
          <w:lang w:val="en-US" w:eastAsia="zh-CN"/>
        </w:rPr>
        <w:t>1</w:t>
      </w:r>
      <w:r>
        <w:rPr>
          <w:rFonts w:hint="eastAsia" w:ascii="宋体" w:hAnsi="宋体"/>
          <w:b/>
          <w:color w:val="auto"/>
          <w:sz w:val="24"/>
          <w:szCs w:val="24"/>
          <w:lang w:val="zh-CN"/>
        </w:rPr>
        <w:t>．教育支出</w:t>
      </w:r>
      <w:r>
        <w:rPr>
          <w:rFonts w:hint="eastAsia" w:ascii="宋体" w:hAnsi="宋体"/>
          <w:color w:val="auto"/>
          <w:sz w:val="24"/>
          <w:szCs w:val="24"/>
          <w:lang w:val="zh-CN"/>
        </w:rPr>
        <w:t>年初预算数为502.98万元,支出决算为633.01万元,完成年初预算的125.85%,决算数大于预算数的</w:t>
      </w:r>
      <w:r>
        <w:rPr>
          <w:rFonts w:hint="eastAsia" w:ascii="宋体" w:hAnsi="宋体"/>
          <w:color w:val="FF0000"/>
          <w:sz w:val="24"/>
          <w:szCs w:val="24"/>
          <w:lang w:val="zh-CN"/>
        </w:rPr>
        <w:t>主要原因是</w:t>
      </w:r>
      <w:r>
        <w:rPr>
          <w:rFonts w:hint="eastAsia" w:ascii="宋体" w:hAnsi="宋体"/>
          <w:color w:val="auto"/>
          <w:sz w:val="24"/>
          <w:szCs w:val="24"/>
          <w:lang w:val="zh-CN"/>
        </w:rPr>
        <w:t>办公费增加，维修费增加。</w:t>
      </w:r>
    </w:p>
    <w:p>
      <w:pPr>
        <w:pageBreakBefore w:val="0"/>
        <w:kinsoku/>
        <w:wordWrap/>
        <w:overflowPunct/>
        <w:topLinePunct w:val="0"/>
        <w:autoSpaceDE/>
        <w:autoSpaceDN/>
        <w:bidi w:val="0"/>
        <w:adjustRightInd/>
        <w:snapToGrid/>
        <w:spacing w:before="100" w:beforeLines="0" w:after="100" w:afterLines="0" w:line="240" w:lineRule="auto"/>
        <w:ind w:firstLine="482" w:firstLineChars="200"/>
        <w:jc w:val="left"/>
        <w:textAlignment w:val="auto"/>
        <w:rPr>
          <w:rFonts w:hint="eastAsia" w:ascii="宋体" w:hAnsi="宋体"/>
          <w:color w:val="FF0000"/>
          <w:sz w:val="24"/>
          <w:szCs w:val="24"/>
          <w:lang w:val="zh-CN"/>
        </w:rPr>
      </w:pPr>
      <w:r>
        <w:rPr>
          <w:rFonts w:hint="eastAsia" w:ascii="Times New Roman" w:hAnsi="Times New Roman" w:eastAsia="宋体"/>
          <w:b/>
          <w:color w:val="auto"/>
          <w:sz w:val="24"/>
          <w:szCs w:val="24"/>
          <w:lang w:val="en-US" w:eastAsia="zh-CN"/>
        </w:rPr>
        <w:t>2</w:t>
      </w:r>
      <w:r>
        <w:rPr>
          <w:rFonts w:hint="eastAsia" w:ascii="宋体" w:hAnsi="宋体"/>
          <w:b/>
          <w:color w:val="auto"/>
          <w:sz w:val="24"/>
          <w:szCs w:val="24"/>
          <w:lang w:val="zh-CN"/>
        </w:rPr>
        <w:t>．社会保障和就业支出</w:t>
      </w:r>
      <w:r>
        <w:rPr>
          <w:rFonts w:hint="eastAsia" w:ascii="宋体" w:hAnsi="宋体"/>
          <w:color w:val="auto"/>
          <w:sz w:val="24"/>
          <w:szCs w:val="24"/>
          <w:lang w:val="zh-CN"/>
        </w:rPr>
        <w:t>年初预算数为81.73万元,支出决算为46.18万元,完成年初预算的56.51%,决算数小于预算数的</w:t>
      </w:r>
      <w:r>
        <w:rPr>
          <w:rFonts w:hint="eastAsia" w:ascii="宋体" w:hAnsi="宋体"/>
          <w:color w:val="FF0000"/>
          <w:sz w:val="24"/>
          <w:szCs w:val="24"/>
          <w:lang w:val="zh-CN"/>
        </w:rPr>
        <w:t>主要原因是</w:t>
      </w:r>
      <w:r>
        <w:rPr>
          <w:rFonts w:hint="eastAsia" w:ascii="宋体" w:hAnsi="宋体"/>
          <w:color w:val="FF0000"/>
          <w:sz w:val="24"/>
          <w:szCs w:val="24"/>
          <w:lang w:val="en-US" w:eastAsia="zh-CN"/>
        </w:rPr>
        <w:t>教师调出，养老保险减少</w:t>
      </w:r>
      <w:r>
        <w:rPr>
          <w:rFonts w:hint="eastAsia" w:ascii="宋体" w:hAnsi="宋体"/>
          <w:color w:val="FF0000"/>
          <w:sz w:val="24"/>
          <w:szCs w:val="24"/>
          <w:lang w:val="zh-CN"/>
        </w:rPr>
        <w:t>。</w:t>
      </w:r>
    </w:p>
    <w:p>
      <w:pPr>
        <w:pageBreakBefore w:val="0"/>
        <w:kinsoku/>
        <w:wordWrap/>
        <w:overflowPunct/>
        <w:topLinePunct w:val="0"/>
        <w:autoSpaceDE/>
        <w:autoSpaceDN/>
        <w:bidi w:val="0"/>
        <w:adjustRightInd/>
        <w:snapToGrid/>
        <w:spacing w:before="100" w:beforeLines="0" w:after="100" w:afterLines="0" w:line="240" w:lineRule="auto"/>
        <w:ind w:firstLine="482" w:firstLineChars="200"/>
        <w:jc w:val="left"/>
        <w:textAlignment w:val="auto"/>
        <w:rPr>
          <w:rFonts w:hint="eastAsia" w:ascii="宋体" w:hAnsi="宋体"/>
          <w:color w:val="FF0000"/>
          <w:sz w:val="24"/>
          <w:szCs w:val="24"/>
          <w:lang w:val="zh-CN"/>
        </w:rPr>
      </w:pPr>
      <w:r>
        <w:rPr>
          <w:rFonts w:hint="eastAsia" w:ascii="Times New Roman" w:hAnsi="Times New Roman" w:eastAsia="宋体"/>
          <w:b/>
          <w:color w:val="auto"/>
          <w:sz w:val="24"/>
          <w:szCs w:val="24"/>
          <w:lang w:val="en-US" w:eastAsia="zh-CN"/>
        </w:rPr>
        <w:t>3</w:t>
      </w:r>
      <w:r>
        <w:rPr>
          <w:rFonts w:hint="eastAsia" w:ascii="宋体" w:hAnsi="宋体"/>
          <w:b/>
          <w:color w:val="auto"/>
          <w:sz w:val="24"/>
          <w:szCs w:val="24"/>
          <w:lang w:val="zh-CN"/>
        </w:rPr>
        <w:t>．卫生健康支出</w:t>
      </w:r>
      <w:r>
        <w:rPr>
          <w:rFonts w:hint="eastAsia" w:ascii="宋体" w:hAnsi="宋体"/>
          <w:color w:val="auto"/>
          <w:sz w:val="24"/>
          <w:szCs w:val="24"/>
          <w:lang w:val="zh-CN"/>
        </w:rPr>
        <w:t>年初预算数为29.88万元,支出决算为34.09万元,完成年初预算的114.1%,决算数大于预算数的</w:t>
      </w:r>
      <w:r>
        <w:rPr>
          <w:rFonts w:hint="eastAsia" w:ascii="宋体" w:hAnsi="宋体"/>
          <w:color w:val="FF0000"/>
          <w:sz w:val="24"/>
          <w:szCs w:val="24"/>
          <w:lang w:val="zh-CN"/>
        </w:rPr>
        <w:t>主要原</w:t>
      </w:r>
      <w:r>
        <w:rPr>
          <w:rFonts w:hint="eastAsia" w:ascii="宋体" w:hAnsi="宋体"/>
          <w:color w:val="auto"/>
          <w:sz w:val="24"/>
          <w:szCs w:val="24"/>
          <w:lang w:val="zh-CN"/>
        </w:rPr>
        <w:t>因是无调整预算。</w:t>
      </w:r>
    </w:p>
    <w:p>
      <w:pPr>
        <w:pageBreakBefore w:val="0"/>
        <w:kinsoku/>
        <w:wordWrap/>
        <w:overflowPunct/>
        <w:topLinePunct w:val="0"/>
        <w:autoSpaceDE/>
        <w:autoSpaceDN/>
        <w:bidi w:val="0"/>
        <w:adjustRightInd/>
        <w:snapToGrid/>
        <w:spacing w:before="100" w:beforeLines="0" w:after="100" w:afterLines="0" w:line="240" w:lineRule="auto"/>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六、一般公共预算财政拨款基本支出决算情况说明</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2023年度一般公共预算财政拨款基本支出656.17万元。其中：</w:t>
      </w:r>
    </w:p>
    <w:p>
      <w:pPr>
        <w:pageBreakBefore w:val="0"/>
        <w:widowControl/>
        <w:kinsoku/>
        <w:wordWrap/>
        <w:overflowPunct/>
        <w:topLinePunct w:val="0"/>
        <w:autoSpaceDE/>
        <w:autoSpaceDN/>
        <w:bidi w:val="0"/>
        <w:adjustRightInd/>
        <w:snapToGrid/>
        <w:spacing w:before="100" w:beforeLines="0" w:after="100" w:afterLines="0" w:line="240" w:lineRule="auto"/>
        <w:ind w:firstLine="482" w:firstLineChars="200"/>
        <w:jc w:val="left"/>
        <w:textAlignment w:val="auto"/>
        <w:rPr>
          <w:rFonts w:hint="eastAsia" w:ascii="宋体" w:hAnsi="宋体"/>
          <w:color w:val="auto"/>
          <w:sz w:val="24"/>
          <w:szCs w:val="24"/>
          <w:lang w:val="zh-CN"/>
        </w:rPr>
      </w:pPr>
      <w:r>
        <w:rPr>
          <w:rFonts w:hint="eastAsia" w:ascii="宋体" w:hAnsi="宋体"/>
          <w:b/>
          <w:color w:val="auto"/>
          <w:sz w:val="24"/>
          <w:szCs w:val="24"/>
          <w:lang w:val="zh-CN"/>
        </w:rPr>
        <w:t>人员经费</w:t>
      </w:r>
      <w:r>
        <w:rPr>
          <w:rFonts w:hint="eastAsia" w:ascii="宋体" w:hAnsi="宋体"/>
          <w:color w:val="auto"/>
          <w:sz w:val="24"/>
          <w:szCs w:val="24"/>
          <w:lang w:val="zh-CN"/>
        </w:rPr>
        <w:t>619.30万元,较上年决算数增加30.15万元,增长5.12%,</w:t>
      </w:r>
      <w:r>
        <w:rPr>
          <w:rFonts w:hint="eastAsia" w:ascii="宋体" w:hAnsi="宋体"/>
          <w:color w:val="FF0000"/>
          <w:sz w:val="24"/>
          <w:szCs w:val="24"/>
          <w:lang w:val="zh-CN"/>
        </w:rPr>
        <w:t>主要原因是</w:t>
      </w:r>
      <w:r>
        <w:rPr>
          <w:rFonts w:hint="eastAsia" w:ascii="宋体" w:hAnsi="宋体"/>
          <w:color w:val="auto"/>
          <w:sz w:val="24"/>
          <w:szCs w:val="24"/>
          <w:lang w:val="zh-CN"/>
        </w:rPr>
        <w:t>工资晋级晋档。人员经费用途主要包括基本工资</w:t>
      </w:r>
      <w:r>
        <w:rPr>
          <w:rFonts w:hint="eastAsia" w:ascii="宋体" w:hAnsi="宋体"/>
          <w:color w:val="auto"/>
          <w:sz w:val="24"/>
          <w:szCs w:val="24"/>
          <w:lang w:val="en-US" w:eastAsia="zh-CN"/>
        </w:rPr>
        <w:t>194.94万元、</w:t>
      </w:r>
      <w:r>
        <w:rPr>
          <w:rFonts w:hint="eastAsia" w:ascii="宋体" w:hAnsi="宋体"/>
          <w:color w:val="auto"/>
          <w:sz w:val="24"/>
          <w:szCs w:val="24"/>
          <w:lang w:val="zh-CN"/>
        </w:rPr>
        <w:t>津贴补贴</w:t>
      </w:r>
      <w:r>
        <w:rPr>
          <w:rFonts w:hint="eastAsia" w:ascii="宋体" w:hAnsi="宋体"/>
          <w:color w:val="auto"/>
          <w:sz w:val="24"/>
          <w:szCs w:val="24"/>
          <w:lang w:val="en-US" w:eastAsia="zh-CN"/>
        </w:rPr>
        <w:t>212.09万元</w:t>
      </w:r>
      <w:r>
        <w:rPr>
          <w:rFonts w:hint="eastAsia" w:ascii="宋体" w:hAnsi="宋体"/>
          <w:color w:val="auto"/>
          <w:sz w:val="24"/>
          <w:szCs w:val="24"/>
          <w:lang w:val="zh-CN"/>
        </w:rPr>
        <w:t>、奖金</w:t>
      </w:r>
      <w:r>
        <w:rPr>
          <w:rFonts w:hint="eastAsia" w:ascii="宋体" w:hAnsi="宋体"/>
          <w:color w:val="auto"/>
          <w:sz w:val="24"/>
          <w:szCs w:val="24"/>
          <w:lang w:val="en-US" w:eastAsia="zh-CN"/>
        </w:rPr>
        <w:t>99.78万元</w:t>
      </w:r>
      <w:r>
        <w:rPr>
          <w:rFonts w:hint="eastAsia" w:ascii="宋体" w:hAnsi="宋体"/>
          <w:color w:val="auto"/>
          <w:sz w:val="24"/>
          <w:szCs w:val="24"/>
          <w:lang w:val="zh-CN"/>
        </w:rPr>
        <w:t>、机关事业单位基本养老保险缴费</w:t>
      </w:r>
      <w:r>
        <w:rPr>
          <w:rFonts w:hint="eastAsia" w:ascii="宋体" w:hAnsi="宋体"/>
          <w:color w:val="auto"/>
          <w:sz w:val="24"/>
          <w:szCs w:val="24"/>
          <w:lang w:val="en-US" w:eastAsia="zh-CN"/>
        </w:rPr>
        <w:t>36.84万元</w:t>
      </w:r>
      <w:r>
        <w:rPr>
          <w:rFonts w:hint="eastAsia" w:ascii="宋体" w:hAnsi="宋体"/>
          <w:color w:val="auto"/>
          <w:sz w:val="24"/>
          <w:szCs w:val="24"/>
          <w:lang w:val="zh-CN"/>
        </w:rPr>
        <w:t>、  职业年金缴费</w:t>
      </w:r>
      <w:r>
        <w:rPr>
          <w:rFonts w:hint="eastAsia" w:ascii="宋体" w:hAnsi="宋体"/>
          <w:color w:val="auto"/>
          <w:sz w:val="24"/>
          <w:szCs w:val="24"/>
          <w:lang w:val="en-US" w:eastAsia="zh-CN"/>
        </w:rPr>
        <w:t>5.32万元，职工基本医疗保险缴费26.89万元，公务员医疗补助缴费7.2万元， 其他工资福利支出7.95万元，其他社会保障缴费3.47万元。对个人和家庭的补助24.81万元</w:t>
      </w:r>
      <w:r>
        <w:rPr>
          <w:rFonts w:hint="eastAsia" w:ascii="宋体" w:hAnsi="宋体"/>
          <w:color w:val="auto"/>
          <w:sz w:val="24"/>
          <w:szCs w:val="24"/>
          <w:lang w:val="zh-CN" w:eastAsia="zh-CN"/>
        </w:rPr>
        <w:t>。</w:t>
      </w:r>
    </w:p>
    <w:p>
      <w:pPr>
        <w:pageBreakBefore w:val="0"/>
        <w:widowControl/>
        <w:kinsoku/>
        <w:wordWrap/>
        <w:overflowPunct/>
        <w:topLinePunct w:val="0"/>
        <w:autoSpaceDE/>
        <w:autoSpaceDN/>
        <w:bidi w:val="0"/>
        <w:adjustRightInd/>
        <w:snapToGrid/>
        <w:spacing w:before="100" w:beforeLines="0" w:after="100" w:afterLines="0" w:line="240" w:lineRule="auto"/>
        <w:ind w:firstLine="482" w:firstLineChars="200"/>
        <w:jc w:val="left"/>
        <w:textAlignment w:val="auto"/>
        <w:rPr>
          <w:rFonts w:hint="eastAsia" w:ascii="宋体" w:hAnsi="宋体"/>
          <w:color w:val="auto"/>
          <w:sz w:val="24"/>
          <w:szCs w:val="24"/>
          <w:lang w:val="zh-CN"/>
        </w:rPr>
      </w:pPr>
      <w:r>
        <w:rPr>
          <w:rFonts w:hint="eastAsia" w:ascii="宋体" w:hAnsi="宋体"/>
          <w:b/>
          <w:color w:val="auto"/>
          <w:sz w:val="24"/>
          <w:szCs w:val="24"/>
          <w:lang w:val="zh-CN"/>
        </w:rPr>
        <w:t>公用经费</w:t>
      </w:r>
      <w:r>
        <w:rPr>
          <w:rFonts w:hint="eastAsia" w:ascii="宋体" w:hAnsi="宋体"/>
          <w:color w:val="auto"/>
          <w:sz w:val="24"/>
          <w:szCs w:val="24"/>
          <w:lang w:val="zh-CN"/>
        </w:rPr>
        <w:t>36.87万元,较上年决算数增加15.43万元,增长71.97%,</w:t>
      </w:r>
      <w:r>
        <w:rPr>
          <w:rFonts w:hint="eastAsia" w:ascii="宋体" w:hAnsi="宋体"/>
          <w:color w:val="FF0000"/>
          <w:sz w:val="24"/>
          <w:szCs w:val="24"/>
          <w:lang w:val="zh-CN"/>
        </w:rPr>
        <w:t>主要原因是</w:t>
      </w:r>
      <w:r>
        <w:rPr>
          <w:rFonts w:hint="eastAsia" w:ascii="宋体" w:hAnsi="宋体"/>
          <w:color w:val="FF0000"/>
          <w:sz w:val="24"/>
          <w:szCs w:val="24"/>
          <w:lang w:val="en-US" w:eastAsia="zh-CN"/>
        </w:rPr>
        <w:t>维修费与劳务费增加</w:t>
      </w:r>
      <w:r>
        <w:rPr>
          <w:rFonts w:hint="eastAsia" w:ascii="宋体" w:hAnsi="宋体"/>
          <w:color w:val="auto"/>
          <w:sz w:val="24"/>
          <w:szCs w:val="24"/>
          <w:lang w:val="zh-CN"/>
        </w:rPr>
        <w:t>。公用经费用途</w:t>
      </w:r>
      <w:r>
        <w:rPr>
          <w:rFonts w:hint="eastAsia" w:ascii="宋体" w:hAnsi="宋体"/>
          <w:color w:val="FF0000"/>
          <w:sz w:val="24"/>
          <w:szCs w:val="24"/>
          <w:lang w:val="zh-CN"/>
        </w:rPr>
        <w:t>主要包括</w:t>
      </w:r>
      <w:r>
        <w:rPr>
          <w:rFonts w:hint="eastAsia" w:ascii="宋体" w:hAnsi="宋体"/>
          <w:color w:val="auto"/>
          <w:sz w:val="24"/>
          <w:szCs w:val="24"/>
          <w:lang w:val="zh-CN"/>
        </w:rPr>
        <w:t>办公费</w:t>
      </w:r>
      <w:r>
        <w:rPr>
          <w:rFonts w:hint="eastAsia" w:ascii="宋体" w:hAnsi="宋体"/>
          <w:color w:val="auto"/>
          <w:sz w:val="24"/>
          <w:szCs w:val="24"/>
          <w:lang w:val="en-US" w:eastAsia="zh-CN"/>
        </w:rPr>
        <w:t>1.69万元</w:t>
      </w:r>
      <w:r>
        <w:rPr>
          <w:rFonts w:hint="eastAsia" w:ascii="宋体" w:hAnsi="宋体"/>
          <w:color w:val="auto"/>
          <w:sz w:val="24"/>
          <w:szCs w:val="24"/>
          <w:lang w:val="zh-CN"/>
        </w:rPr>
        <w:t>、印刷费</w:t>
      </w:r>
      <w:r>
        <w:rPr>
          <w:rFonts w:hint="eastAsia" w:ascii="宋体" w:hAnsi="宋体"/>
          <w:color w:val="auto"/>
          <w:sz w:val="24"/>
          <w:szCs w:val="24"/>
          <w:lang w:val="en-US" w:eastAsia="zh-CN"/>
        </w:rPr>
        <w:t>0.8万元</w:t>
      </w:r>
      <w:r>
        <w:rPr>
          <w:rFonts w:hint="eastAsia" w:ascii="宋体" w:hAnsi="宋体"/>
          <w:color w:val="auto"/>
          <w:sz w:val="24"/>
          <w:szCs w:val="24"/>
          <w:lang w:val="zh-CN"/>
        </w:rPr>
        <w:t>、水费0.43</w:t>
      </w:r>
      <w:r>
        <w:rPr>
          <w:rFonts w:hint="eastAsia" w:ascii="宋体" w:hAnsi="宋体"/>
          <w:color w:val="auto"/>
          <w:sz w:val="24"/>
          <w:szCs w:val="24"/>
          <w:lang w:val="en-US" w:eastAsia="zh-CN"/>
        </w:rPr>
        <w:t>万元、</w:t>
      </w:r>
      <w:r>
        <w:rPr>
          <w:rFonts w:hint="eastAsia" w:ascii="宋体" w:hAnsi="宋体"/>
          <w:color w:val="auto"/>
          <w:sz w:val="24"/>
          <w:szCs w:val="24"/>
          <w:lang w:val="zh-CN" w:eastAsia="zh-CN"/>
        </w:rPr>
        <w:t>电费</w:t>
      </w:r>
      <w:r>
        <w:rPr>
          <w:rFonts w:hint="eastAsia" w:ascii="宋体" w:hAnsi="宋体"/>
          <w:color w:val="auto"/>
          <w:sz w:val="24"/>
          <w:szCs w:val="24"/>
          <w:lang w:val="en-US" w:eastAsia="zh-CN"/>
        </w:rPr>
        <w:t>0.54万元、</w:t>
      </w:r>
      <w:r>
        <w:rPr>
          <w:rFonts w:hint="eastAsia" w:ascii="宋体" w:hAnsi="宋体"/>
          <w:color w:val="auto"/>
          <w:sz w:val="24"/>
          <w:szCs w:val="24"/>
          <w:lang w:val="zh-CN"/>
        </w:rPr>
        <w:t>邮电费</w:t>
      </w:r>
      <w:r>
        <w:rPr>
          <w:rFonts w:hint="eastAsia" w:ascii="宋体" w:hAnsi="宋体"/>
          <w:color w:val="auto"/>
          <w:sz w:val="24"/>
          <w:szCs w:val="24"/>
          <w:lang w:val="en-US" w:eastAsia="zh-CN"/>
        </w:rPr>
        <w:t>0.35万元</w:t>
      </w:r>
      <w:r>
        <w:rPr>
          <w:rFonts w:hint="eastAsia" w:ascii="宋体" w:hAnsi="宋体"/>
          <w:color w:val="auto"/>
          <w:sz w:val="24"/>
          <w:szCs w:val="24"/>
          <w:lang w:val="zh-CN"/>
        </w:rPr>
        <w:t>、取暖费</w:t>
      </w:r>
      <w:r>
        <w:rPr>
          <w:rFonts w:hint="eastAsia" w:ascii="宋体" w:hAnsi="宋体"/>
          <w:color w:val="auto"/>
          <w:sz w:val="24"/>
          <w:szCs w:val="24"/>
          <w:lang w:val="en-US" w:eastAsia="zh-CN"/>
        </w:rPr>
        <w:t>5.45万元</w:t>
      </w:r>
      <w:r>
        <w:rPr>
          <w:rFonts w:hint="eastAsia" w:ascii="宋体" w:hAnsi="宋体"/>
          <w:color w:val="auto"/>
          <w:sz w:val="24"/>
          <w:szCs w:val="24"/>
          <w:lang w:val="zh-CN"/>
        </w:rPr>
        <w:t>、差旅费</w:t>
      </w:r>
      <w:r>
        <w:rPr>
          <w:rFonts w:hint="eastAsia" w:ascii="宋体" w:hAnsi="宋体"/>
          <w:color w:val="auto"/>
          <w:sz w:val="24"/>
          <w:szCs w:val="24"/>
          <w:lang w:val="en-US" w:eastAsia="zh-CN"/>
        </w:rPr>
        <w:t>1万元</w:t>
      </w:r>
      <w:r>
        <w:rPr>
          <w:rFonts w:hint="eastAsia" w:ascii="宋体" w:hAnsi="宋体"/>
          <w:color w:val="auto"/>
          <w:sz w:val="24"/>
          <w:szCs w:val="24"/>
          <w:lang w:val="zh-CN"/>
        </w:rPr>
        <w:t>、维修（护）费</w:t>
      </w:r>
      <w:r>
        <w:rPr>
          <w:rFonts w:hint="eastAsia" w:ascii="宋体" w:hAnsi="宋体"/>
          <w:color w:val="auto"/>
          <w:sz w:val="24"/>
          <w:szCs w:val="24"/>
          <w:lang w:val="en-US" w:eastAsia="zh-CN"/>
        </w:rPr>
        <w:t>5.06万元</w:t>
      </w:r>
      <w:r>
        <w:rPr>
          <w:rFonts w:hint="eastAsia" w:ascii="宋体" w:hAnsi="宋体"/>
          <w:color w:val="auto"/>
          <w:sz w:val="24"/>
          <w:szCs w:val="24"/>
          <w:lang w:val="zh-CN"/>
        </w:rPr>
        <w:t>、</w:t>
      </w:r>
      <w:r>
        <w:rPr>
          <w:rFonts w:hint="eastAsia" w:ascii="宋体" w:hAnsi="宋体"/>
          <w:color w:val="auto"/>
          <w:sz w:val="24"/>
          <w:szCs w:val="24"/>
          <w:lang w:val="zh-CN" w:eastAsia="zh-CN"/>
        </w:rPr>
        <w:t>培训费</w:t>
      </w:r>
      <w:r>
        <w:rPr>
          <w:rFonts w:hint="eastAsia" w:ascii="宋体" w:hAnsi="宋体"/>
          <w:color w:val="auto"/>
          <w:sz w:val="24"/>
          <w:szCs w:val="24"/>
          <w:lang w:val="en-US" w:eastAsia="zh-CN"/>
        </w:rPr>
        <w:t>0.35万元</w:t>
      </w:r>
      <w:r>
        <w:rPr>
          <w:rFonts w:hint="eastAsia" w:ascii="宋体" w:hAnsi="宋体"/>
          <w:color w:val="auto"/>
          <w:sz w:val="24"/>
          <w:szCs w:val="24"/>
          <w:lang w:val="zh-CN"/>
        </w:rPr>
        <w:t>、福利费</w:t>
      </w:r>
      <w:r>
        <w:rPr>
          <w:rFonts w:hint="eastAsia" w:ascii="宋体" w:hAnsi="宋体"/>
          <w:color w:val="auto"/>
          <w:sz w:val="24"/>
          <w:szCs w:val="24"/>
          <w:lang w:val="en-US" w:eastAsia="zh-CN"/>
        </w:rPr>
        <w:t>2.61万元等</w:t>
      </w:r>
      <w:r>
        <w:rPr>
          <w:rFonts w:hint="eastAsia" w:ascii="宋体" w:hAnsi="宋体"/>
          <w:color w:val="auto"/>
          <w:sz w:val="24"/>
          <w:szCs w:val="24"/>
          <w:lang w:val="zh-CN"/>
        </w:rPr>
        <w:t>。</w:t>
      </w:r>
    </w:p>
    <w:p>
      <w:pPr>
        <w:pageBreakBefore w:val="0"/>
        <w:kinsoku/>
        <w:wordWrap/>
        <w:overflowPunct/>
        <w:topLinePunct w:val="0"/>
        <w:autoSpaceDE/>
        <w:autoSpaceDN/>
        <w:bidi w:val="0"/>
        <w:adjustRightInd/>
        <w:snapToGrid/>
        <w:spacing w:before="100" w:beforeLines="0" w:after="100" w:afterLines="0" w:line="240" w:lineRule="auto"/>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七、政府性基金预算财政拨款收支决算情况说明</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color w:val="auto"/>
          <w:sz w:val="24"/>
          <w:szCs w:val="24"/>
          <w:lang w:val="zh-CN"/>
        </w:rPr>
      </w:pPr>
      <w:r>
        <w:rPr>
          <w:rFonts w:hint="eastAsia" w:ascii="宋体" w:hAnsi="宋体"/>
          <w:color w:val="FF0000"/>
          <w:sz w:val="24"/>
          <w:szCs w:val="24"/>
          <w:lang w:val="zh-CN"/>
        </w:rPr>
        <w:t>本部门2023年度无政府性基金收入,也没有使用政府性基金安排的支出。</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color w:val="FF0000"/>
          <w:sz w:val="24"/>
          <w:szCs w:val="24"/>
          <w:lang w:val="zh-CN"/>
        </w:rPr>
      </w:pPr>
      <w:r>
        <w:rPr>
          <w:rFonts w:hint="eastAsia" w:ascii="宋体" w:hAnsi="宋体"/>
          <w:color w:val="auto"/>
          <w:sz w:val="24"/>
          <w:szCs w:val="24"/>
          <w:lang w:val="zh-CN"/>
        </w:rPr>
        <w:t>2023年度政府性基金预算财政拨款年初结转和结余0.00万元,本年收入0.00万元,本年支出0.00万元,年末结转和结余0.00</w:t>
      </w:r>
      <w:r>
        <w:rPr>
          <w:rFonts w:hint="eastAsia" w:ascii="宋体" w:hAnsi="宋体"/>
          <w:sz w:val="24"/>
          <w:szCs w:val="24"/>
          <w:lang w:val="en-US" w:eastAsia="zh-CN"/>
        </w:rPr>
        <w:t>万元</w:t>
      </w:r>
      <w:r>
        <w:rPr>
          <w:rFonts w:hint="eastAsia" w:ascii="宋体" w:hAnsi="宋体"/>
          <w:color w:val="FF0000"/>
          <w:sz w:val="24"/>
          <w:szCs w:val="24"/>
          <w:lang w:val="zh-CN"/>
        </w:rPr>
        <w:t>。</w:t>
      </w:r>
    </w:p>
    <w:p>
      <w:pPr>
        <w:pageBreakBefore w:val="0"/>
        <w:kinsoku/>
        <w:wordWrap/>
        <w:overflowPunct/>
        <w:topLinePunct w:val="0"/>
        <w:autoSpaceDE/>
        <w:autoSpaceDN/>
        <w:bidi w:val="0"/>
        <w:adjustRightInd/>
        <w:snapToGrid/>
        <w:spacing w:before="100" w:beforeLines="0" w:after="100" w:afterLines="0" w:line="240" w:lineRule="auto"/>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八、国有资本经营预算财政拨款支出情况说明</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color w:val="auto"/>
          <w:sz w:val="24"/>
          <w:szCs w:val="24"/>
          <w:lang w:val="zh-CN"/>
        </w:rPr>
      </w:pPr>
      <w:r>
        <w:rPr>
          <w:rFonts w:hint="eastAsia" w:ascii="宋体" w:hAnsi="宋体"/>
          <w:color w:val="FF0000"/>
          <w:sz w:val="24"/>
          <w:szCs w:val="24"/>
          <w:lang w:val="zh-CN"/>
        </w:rPr>
        <w:t>本部门2023年度没有使用国有资本经营预算安排的支出。</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color w:val="FF0000"/>
          <w:sz w:val="24"/>
          <w:szCs w:val="24"/>
          <w:lang w:val="zh-CN"/>
        </w:rPr>
      </w:pPr>
      <w:r>
        <w:rPr>
          <w:rFonts w:hint="eastAsia" w:ascii="宋体" w:hAnsi="宋体"/>
          <w:color w:val="auto"/>
          <w:sz w:val="24"/>
          <w:szCs w:val="24"/>
          <w:lang w:val="zh-CN"/>
        </w:rPr>
        <w:t>2023年度国有资本经营预算财政拨款本年支出0.00万元</w:t>
      </w:r>
      <w:r>
        <w:rPr>
          <w:rFonts w:hint="eastAsia" w:ascii="宋体" w:hAnsi="宋体"/>
          <w:color w:val="FF0000"/>
          <w:sz w:val="24"/>
          <w:szCs w:val="24"/>
          <w:lang w:val="zh-CN"/>
        </w:rPr>
        <w:t>。</w:t>
      </w:r>
    </w:p>
    <w:p>
      <w:pPr>
        <w:pageBreakBefore w:val="0"/>
        <w:kinsoku/>
        <w:wordWrap/>
        <w:overflowPunct/>
        <w:topLinePunct w:val="0"/>
        <w:autoSpaceDE/>
        <w:autoSpaceDN/>
        <w:bidi w:val="0"/>
        <w:adjustRightInd/>
        <w:snapToGrid/>
        <w:spacing w:before="100" w:beforeLines="0" w:after="100" w:afterLines="0" w:line="240" w:lineRule="auto"/>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九</w:t>
      </w:r>
      <w:r>
        <w:rPr>
          <w:rFonts w:hint="eastAsia" w:ascii="宋体" w:hAnsi="宋体"/>
          <w:b/>
          <w:bCs/>
          <w:color w:val="auto"/>
          <w:sz w:val="24"/>
          <w:szCs w:val="24"/>
          <w:lang w:val="zh-CN" w:eastAsia="zh-CN"/>
        </w:rPr>
        <w:t>、财政拨款</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三公</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经费支出决算情况说明</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我单位属于教育教学职能部门,财政未保障我单位“三公”经费。</w:t>
      </w:r>
    </w:p>
    <w:p>
      <w:pPr>
        <w:pageBreakBefore w:val="0"/>
        <w:kinsoku/>
        <w:wordWrap/>
        <w:overflowPunct/>
        <w:topLinePunct w:val="0"/>
        <w:autoSpaceDE/>
        <w:autoSpaceDN/>
        <w:bidi w:val="0"/>
        <w:adjustRightInd/>
        <w:snapToGrid/>
        <w:spacing w:before="100" w:beforeLines="0" w:after="100" w:afterLines="0" w:line="240" w:lineRule="auto"/>
        <w:ind w:firstLine="482" w:firstLineChars="200"/>
        <w:jc w:val="left"/>
        <w:textAlignment w:val="auto"/>
        <w:rPr>
          <w:rFonts w:hint="eastAsia" w:ascii="宋体" w:hAnsi="宋体"/>
          <w:color w:val="auto"/>
          <w:sz w:val="24"/>
          <w:szCs w:val="24"/>
          <w:lang w:val="zh-CN"/>
        </w:rPr>
      </w:pPr>
      <w:r>
        <w:rPr>
          <w:rFonts w:hint="eastAsia" w:ascii="宋体" w:hAnsi="宋体"/>
          <w:b/>
          <w:color w:val="auto"/>
          <w:sz w:val="24"/>
          <w:szCs w:val="24"/>
          <w:lang w:val="zh-CN"/>
        </w:rPr>
        <w:t>(一)</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经费财政拨款支出总体情况说明</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2023年度</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r>
        <w:rPr>
          <w:rFonts w:hint="eastAsia" w:ascii="宋体" w:hAnsi="宋体"/>
          <w:color w:val="FF0000"/>
          <w:sz w:val="24"/>
          <w:szCs w:val="24"/>
          <w:lang w:val="zh-CN"/>
        </w:rPr>
        <w:t>。</w:t>
      </w:r>
    </w:p>
    <w:p>
      <w:pPr>
        <w:pageBreakBefore w:val="0"/>
        <w:numPr>
          <w:ilvl w:val="0"/>
          <w:numId w:val="2"/>
        </w:numPr>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b/>
          <w:color w:val="auto"/>
          <w:sz w:val="24"/>
          <w:szCs w:val="24"/>
          <w:lang w:val="zh-CN"/>
        </w:rPr>
      </w:pP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经费财政拨款支出决算具体情况说明</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1.</w:t>
      </w:r>
      <w:r>
        <w:rPr>
          <w:rFonts w:hint="eastAsia" w:ascii="宋体" w:hAnsi="宋体"/>
          <w:b/>
          <w:color w:val="auto"/>
          <w:sz w:val="24"/>
          <w:szCs w:val="24"/>
          <w:lang w:val="zh-CN"/>
        </w:rPr>
        <w:t>因公出国(境)费用</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r>
        <w:rPr>
          <w:rFonts w:hint="eastAsia" w:ascii="宋体" w:hAnsi="宋体"/>
          <w:color w:val="FF0000"/>
          <w:sz w:val="24"/>
          <w:szCs w:val="24"/>
          <w:lang w:val="zh-CN"/>
        </w:rPr>
        <w:t>。</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2.</w:t>
      </w:r>
      <w:r>
        <w:rPr>
          <w:rFonts w:hint="eastAsia" w:ascii="宋体" w:hAnsi="宋体"/>
          <w:b/>
          <w:color w:val="auto"/>
          <w:sz w:val="24"/>
          <w:szCs w:val="24"/>
          <w:lang w:val="zh-CN"/>
        </w:rPr>
        <w:t>公务用车购置及运行维护费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r>
        <w:rPr>
          <w:rFonts w:hint="eastAsia" w:ascii="宋体" w:hAnsi="宋体"/>
          <w:color w:val="FF0000"/>
          <w:sz w:val="24"/>
          <w:szCs w:val="24"/>
          <w:lang w:val="zh-CN"/>
        </w:rPr>
        <w:t>。</w:t>
      </w:r>
    </w:p>
    <w:p>
      <w:pPr>
        <w:pageBreakBefore w:val="0"/>
        <w:kinsoku/>
        <w:wordWrap/>
        <w:overflowPunct/>
        <w:topLinePunct w:val="0"/>
        <w:autoSpaceDE/>
        <w:autoSpaceDN/>
        <w:bidi w:val="0"/>
        <w:adjustRightInd/>
        <w:snapToGrid/>
        <w:spacing w:before="100" w:beforeLines="0" w:after="100" w:afterLines="0" w:line="240" w:lineRule="auto"/>
        <w:ind w:firstLine="482" w:firstLineChars="200"/>
        <w:jc w:val="left"/>
        <w:textAlignment w:val="auto"/>
        <w:rPr>
          <w:rFonts w:hint="eastAsia" w:ascii="宋体" w:hAnsi="宋体"/>
          <w:color w:val="auto"/>
          <w:sz w:val="24"/>
          <w:szCs w:val="24"/>
          <w:lang w:val="zh-CN"/>
        </w:rPr>
      </w:pPr>
      <w:r>
        <w:rPr>
          <w:rFonts w:hint="eastAsia" w:ascii="宋体" w:hAnsi="宋体"/>
          <w:b/>
          <w:color w:val="auto"/>
          <w:sz w:val="24"/>
          <w:szCs w:val="24"/>
          <w:lang w:val="zh-CN"/>
        </w:rPr>
        <w:t>其中：公务用车购置费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r>
        <w:rPr>
          <w:rFonts w:hint="eastAsia" w:ascii="宋体" w:hAnsi="宋体"/>
          <w:color w:val="FF0000"/>
          <w:sz w:val="24"/>
          <w:szCs w:val="24"/>
          <w:lang w:val="zh-CN"/>
        </w:rPr>
        <w:t>,</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r>
        <w:rPr>
          <w:rFonts w:hint="eastAsia" w:ascii="宋体" w:hAnsi="宋体"/>
          <w:color w:val="FF0000"/>
          <w:sz w:val="24"/>
          <w:szCs w:val="24"/>
          <w:lang w:val="zh-CN"/>
        </w:rPr>
        <w:t>。</w:t>
      </w:r>
    </w:p>
    <w:p>
      <w:pPr>
        <w:pageBreakBefore w:val="0"/>
        <w:kinsoku/>
        <w:wordWrap/>
        <w:overflowPunct/>
        <w:topLinePunct w:val="0"/>
        <w:autoSpaceDE/>
        <w:autoSpaceDN/>
        <w:bidi w:val="0"/>
        <w:adjustRightInd/>
        <w:snapToGrid/>
        <w:spacing w:before="100" w:beforeLines="0" w:after="100" w:afterLines="0" w:line="240" w:lineRule="auto"/>
        <w:ind w:firstLine="482" w:firstLineChars="200"/>
        <w:jc w:val="left"/>
        <w:textAlignment w:val="auto"/>
        <w:rPr>
          <w:rFonts w:hint="eastAsia" w:ascii="宋体" w:hAnsi="宋体"/>
          <w:color w:val="auto"/>
          <w:sz w:val="24"/>
          <w:szCs w:val="24"/>
          <w:lang w:val="zh-CN"/>
        </w:rPr>
      </w:pPr>
      <w:r>
        <w:rPr>
          <w:rFonts w:hint="eastAsia" w:ascii="宋体" w:hAnsi="宋体"/>
          <w:b/>
          <w:color w:val="auto"/>
          <w:sz w:val="24"/>
          <w:szCs w:val="24"/>
          <w:lang w:val="zh-CN"/>
        </w:rPr>
        <w:t>公务用车运行维护费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r>
        <w:rPr>
          <w:rFonts w:hint="eastAsia" w:ascii="宋体" w:hAnsi="宋体"/>
          <w:color w:val="FF0000"/>
          <w:sz w:val="24"/>
          <w:szCs w:val="24"/>
          <w:lang w:val="zh-CN"/>
        </w:rPr>
        <w:t>。</w:t>
      </w:r>
    </w:p>
    <w:p>
      <w:pPr>
        <w:pageBreakBefore w:val="0"/>
        <w:numPr>
          <w:ilvl w:val="0"/>
          <w:numId w:val="3"/>
        </w:numPr>
        <w:kinsoku/>
        <w:wordWrap/>
        <w:overflowPunct/>
        <w:topLinePunct w:val="0"/>
        <w:autoSpaceDE/>
        <w:autoSpaceDN/>
        <w:bidi w:val="0"/>
        <w:adjustRightInd/>
        <w:snapToGrid/>
        <w:spacing w:before="100" w:beforeLines="0" w:after="100" w:afterLines="0" w:line="240" w:lineRule="auto"/>
        <w:ind w:firstLine="482" w:firstLineChars="200"/>
        <w:jc w:val="left"/>
        <w:textAlignment w:val="auto"/>
        <w:rPr>
          <w:rFonts w:hint="eastAsia" w:ascii="宋体" w:hAnsi="宋体"/>
          <w:color w:val="FF0000"/>
          <w:sz w:val="24"/>
          <w:szCs w:val="24"/>
          <w:lang w:val="zh-CN"/>
        </w:rPr>
      </w:pPr>
      <w:r>
        <w:rPr>
          <w:rFonts w:hint="eastAsia" w:ascii="宋体" w:hAnsi="宋体"/>
          <w:b/>
          <w:color w:val="auto"/>
          <w:sz w:val="24"/>
          <w:szCs w:val="24"/>
          <w:lang w:val="zh-CN"/>
        </w:rPr>
        <w:t>公务接待费</w:t>
      </w:r>
      <w:r>
        <w:rPr>
          <w:rFonts w:hint="eastAsia" w:ascii="宋体" w:hAnsi="宋体"/>
          <w:color w:val="auto"/>
          <w:sz w:val="24"/>
          <w:szCs w:val="24"/>
          <w:lang w:val="en-US"/>
        </w:rPr>
        <w:t>全</w:t>
      </w:r>
      <w:r>
        <w:rPr>
          <w:rFonts w:hint="eastAsia" w:ascii="宋体" w:hAnsi="宋体"/>
          <w:color w:val="auto"/>
          <w:sz w:val="24"/>
          <w:szCs w:val="24"/>
          <w:lang w:val="zh-CN"/>
        </w:rPr>
        <w:t>年预算数为0.00万元,支出决算为0.00万元,</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r>
        <w:rPr>
          <w:rFonts w:hint="eastAsia" w:ascii="宋体" w:hAnsi="宋体"/>
          <w:color w:val="FF0000"/>
          <w:sz w:val="24"/>
          <w:szCs w:val="24"/>
          <w:lang w:val="zh-CN"/>
        </w:rPr>
        <w:t>。</w:t>
      </w:r>
    </w:p>
    <w:p>
      <w:pPr>
        <w:pageBreakBefore w:val="0"/>
        <w:numPr>
          <w:ilvl w:val="0"/>
          <w:numId w:val="0"/>
        </w:numPr>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default" w:ascii="宋体" w:hAnsi="宋体"/>
          <w:color w:val="FF0000"/>
          <w:sz w:val="24"/>
          <w:szCs w:val="24"/>
          <w:lang w:val="en-US" w:eastAsia="zh-CN"/>
        </w:rPr>
      </w:pPr>
      <w:r>
        <w:rPr>
          <w:rFonts w:hint="eastAsia" w:ascii="宋体" w:hAnsi="宋体"/>
          <w:color w:val="000000" w:themeColor="text1"/>
          <w:sz w:val="24"/>
          <w:szCs w:val="24"/>
          <w:lang w:val="zh-CN"/>
          <w14:textFill>
            <w14:solidFill>
              <w14:schemeClr w14:val="tx1"/>
            </w14:solidFill>
          </w14:textFill>
        </w:rPr>
        <w:t>外事接待费支出0.00</w:t>
      </w:r>
      <w:r>
        <w:rPr>
          <w:rFonts w:hint="eastAsia" w:ascii="宋体" w:hAnsi="宋体"/>
          <w:color w:val="auto"/>
          <w:sz w:val="24"/>
          <w:szCs w:val="24"/>
          <w:lang w:val="zh-CN"/>
        </w:rPr>
        <w:t>万元。</w:t>
      </w:r>
      <w:r>
        <w:rPr>
          <w:rFonts w:hint="eastAsia" w:ascii="宋体" w:hAnsi="宋体"/>
          <w:color w:val="000000" w:themeColor="text1"/>
          <w:sz w:val="24"/>
          <w:szCs w:val="24"/>
          <w:lang w:val="en-US" w:eastAsia="zh-CN"/>
          <w14:textFill>
            <w14:solidFill>
              <w14:schemeClr w14:val="tx1"/>
            </w14:solidFill>
          </w14:textFill>
        </w:rPr>
        <w:t>其他国内公务接待支出</w:t>
      </w:r>
      <w:r>
        <w:rPr>
          <w:rFonts w:hint="eastAsia" w:ascii="宋体" w:hAnsi="宋体"/>
          <w:color w:val="000000" w:themeColor="text1"/>
          <w:sz w:val="24"/>
          <w:szCs w:val="24"/>
          <w:lang w:val="zh-CN"/>
          <w14:textFill>
            <w14:solidFill>
              <w14:schemeClr w14:val="tx1"/>
            </w14:solidFill>
          </w14:textFill>
        </w:rPr>
        <w:t>0.00</w:t>
      </w:r>
      <w:r>
        <w:rPr>
          <w:rFonts w:hint="eastAsia" w:ascii="宋体" w:hAnsi="宋体"/>
          <w:color w:val="auto"/>
          <w:sz w:val="24"/>
          <w:szCs w:val="24"/>
          <w:lang w:val="zh-CN"/>
        </w:rPr>
        <w:t>万元。</w:t>
      </w:r>
    </w:p>
    <w:p>
      <w:pPr>
        <w:pageBreakBefore w:val="0"/>
        <w:numPr>
          <w:ilvl w:val="0"/>
          <w:numId w:val="2"/>
        </w:numPr>
        <w:kinsoku/>
        <w:wordWrap/>
        <w:overflowPunct/>
        <w:topLinePunct w:val="0"/>
        <w:autoSpaceDE/>
        <w:autoSpaceDN/>
        <w:bidi w:val="0"/>
        <w:adjustRightInd/>
        <w:snapToGrid/>
        <w:spacing w:before="100" w:beforeLines="0" w:after="100" w:afterLines="0" w:line="240" w:lineRule="auto"/>
        <w:ind w:left="0" w:leftChars="0" w:firstLine="480" w:firstLineChars="200"/>
        <w:jc w:val="left"/>
        <w:textAlignment w:val="auto"/>
        <w:rPr>
          <w:rFonts w:hint="eastAsia" w:ascii="宋体" w:hAnsi="宋体"/>
          <w:b/>
          <w:color w:val="auto"/>
          <w:sz w:val="24"/>
          <w:szCs w:val="24"/>
          <w:lang w:val="zh-CN"/>
        </w:rPr>
      </w:pP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经费财政拨款支出决算实物量情况</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2023年度本部门</w:t>
      </w:r>
      <w:r>
        <w:rPr>
          <w:rFonts w:hint="eastAsia" w:ascii="宋体" w:hAnsi="宋体"/>
          <w:b/>
          <w:color w:val="auto"/>
          <w:sz w:val="24"/>
          <w:szCs w:val="24"/>
          <w:lang w:val="zh-CN"/>
        </w:rPr>
        <w:t>因公出国(境)</w:t>
      </w:r>
      <w:r>
        <w:rPr>
          <w:rFonts w:hint="eastAsia" w:ascii="宋体" w:hAnsi="宋体"/>
          <w:color w:val="auto"/>
          <w:sz w:val="24"/>
          <w:szCs w:val="24"/>
          <w:lang w:val="zh-CN"/>
        </w:rPr>
        <w:t>共计</w:t>
      </w:r>
      <w:r>
        <w:rPr>
          <w:rFonts w:hint="eastAsia" w:ascii="宋体" w:hAnsi="宋体"/>
          <w:color w:val="auto"/>
          <w:sz w:val="24"/>
          <w:szCs w:val="24"/>
          <w:lang w:val="en-US" w:eastAsia="zh-CN"/>
        </w:rPr>
        <w:t>0</w:t>
      </w:r>
      <w:r>
        <w:rPr>
          <w:rFonts w:hint="eastAsia" w:ascii="宋体" w:hAnsi="宋体"/>
          <w:color w:val="auto"/>
          <w:sz w:val="24"/>
          <w:szCs w:val="24"/>
          <w:lang w:val="zh-CN"/>
        </w:rPr>
        <w:t>个团组,</w:t>
      </w:r>
      <w:r>
        <w:rPr>
          <w:rFonts w:hint="eastAsia" w:ascii="宋体" w:hAnsi="宋体"/>
          <w:color w:val="auto"/>
          <w:sz w:val="24"/>
          <w:szCs w:val="24"/>
          <w:lang w:val="en-US" w:eastAsia="zh-CN"/>
        </w:rPr>
        <w:t>0</w:t>
      </w:r>
      <w:r>
        <w:rPr>
          <w:rFonts w:hint="eastAsia" w:ascii="宋体" w:hAnsi="宋体"/>
          <w:color w:val="auto"/>
          <w:sz w:val="24"/>
          <w:szCs w:val="24"/>
          <w:lang w:val="zh-CN"/>
        </w:rPr>
        <w:t>人；</w:t>
      </w:r>
      <w:r>
        <w:rPr>
          <w:rFonts w:hint="eastAsia" w:ascii="宋体" w:hAnsi="宋体"/>
          <w:b/>
          <w:color w:val="auto"/>
          <w:sz w:val="24"/>
          <w:szCs w:val="24"/>
          <w:lang w:val="zh-CN"/>
        </w:rPr>
        <w:t>公务用车购置</w:t>
      </w:r>
      <w:r>
        <w:rPr>
          <w:rFonts w:hint="eastAsia" w:ascii="宋体" w:hAnsi="宋体"/>
          <w:b/>
          <w:color w:val="auto"/>
          <w:sz w:val="24"/>
          <w:szCs w:val="24"/>
          <w:lang w:val="en-US" w:eastAsia="zh-CN"/>
        </w:rPr>
        <w:t>0</w:t>
      </w:r>
      <w:r>
        <w:rPr>
          <w:rFonts w:hint="eastAsia" w:ascii="宋体" w:hAnsi="宋体"/>
          <w:color w:val="auto"/>
          <w:sz w:val="24"/>
          <w:szCs w:val="24"/>
          <w:lang w:val="zh-CN"/>
        </w:rPr>
        <w:t>辆,</w:t>
      </w:r>
      <w:r>
        <w:rPr>
          <w:rFonts w:hint="eastAsia" w:ascii="宋体" w:hAnsi="宋体"/>
          <w:b/>
          <w:color w:val="auto"/>
          <w:sz w:val="24"/>
          <w:szCs w:val="24"/>
          <w:lang w:val="zh-CN"/>
        </w:rPr>
        <w:t>公务用车保有量</w:t>
      </w:r>
      <w:r>
        <w:rPr>
          <w:rFonts w:hint="eastAsia" w:ascii="宋体" w:hAnsi="宋体"/>
          <w:color w:val="auto"/>
          <w:sz w:val="24"/>
          <w:szCs w:val="24"/>
          <w:lang w:val="zh-CN"/>
        </w:rPr>
        <w:t>为</w:t>
      </w:r>
      <w:r>
        <w:rPr>
          <w:rFonts w:hint="eastAsia" w:ascii="宋体" w:hAnsi="宋体"/>
          <w:color w:val="auto"/>
          <w:sz w:val="24"/>
          <w:szCs w:val="24"/>
          <w:lang w:val="en-US" w:eastAsia="zh-CN"/>
        </w:rPr>
        <w:t>0</w:t>
      </w:r>
      <w:r>
        <w:rPr>
          <w:rFonts w:hint="eastAsia" w:ascii="宋体" w:hAnsi="宋体"/>
          <w:color w:val="auto"/>
          <w:sz w:val="24"/>
          <w:szCs w:val="24"/>
          <w:lang w:val="zh-CN"/>
        </w:rPr>
        <w:t>辆；</w:t>
      </w:r>
      <w:r>
        <w:rPr>
          <w:rFonts w:hint="eastAsia" w:ascii="宋体" w:hAnsi="宋体"/>
          <w:b/>
          <w:color w:val="auto"/>
          <w:sz w:val="24"/>
          <w:szCs w:val="24"/>
          <w:lang w:val="zh-CN"/>
        </w:rPr>
        <w:t>国内公务接待</w:t>
      </w:r>
      <w:r>
        <w:rPr>
          <w:rFonts w:hint="eastAsia" w:ascii="宋体" w:hAnsi="宋体"/>
          <w:color w:val="auto"/>
          <w:sz w:val="24"/>
          <w:szCs w:val="24"/>
          <w:lang w:val="zh-CN"/>
        </w:rPr>
        <w:t>批次</w:t>
      </w:r>
      <w:r>
        <w:rPr>
          <w:rFonts w:hint="eastAsia" w:ascii="宋体" w:hAnsi="宋体"/>
          <w:color w:val="auto"/>
          <w:sz w:val="24"/>
          <w:szCs w:val="24"/>
          <w:lang w:val="en-US" w:eastAsia="zh-CN"/>
        </w:rPr>
        <w:t>0</w:t>
      </w:r>
      <w:r>
        <w:rPr>
          <w:rFonts w:hint="eastAsia" w:ascii="宋体" w:hAnsi="宋体"/>
          <w:color w:val="auto"/>
          <w:sz w:val="24"/>
          <w:szCs w:val="24"/>
          <w:lang w:val="zh-CN"/>
        </w:rPr>
        <w:t>人,其中：</w:t>
      </w:r>
      <w:r>
        <w:rPr>
          <w:rFonts w:hint="eastAsia" w:ascii="宋体" w:hAnsi="宋体"/>
          <w:b/>
          <w:color w:val="auto"/>
          <w:sz w:val="24"/>
          <w:szCs w:val="24"/>
          <w:lang w:val="zh-CN"/>
        </w:rPr>
        <w:t>外事接待</w:t>
      </w:r>
      <w:r>
        <w:rPr>
          <w:rFonts w:hint="eastAsia" w:ascii="宋体" w:hAnsi="宋体"/>
          <w:color w:val="auto"/>
          <w:sz w:val="24"/>
          <w:szCs w:val="24"/>
          <w:lang w:val="zh-CN"/>
        </w:rPr>
        <w:t>批次,</w:t>
      </w:r>
      <w:r>
        <w:rPr>
          <w:rFonts w:hint="eastAsia" w:ascii="宋体" w:hAnsi="宋体"/>
          <w:color w:val="auto"/>
          <w:sz w:val="24"/>
          <w:szCs w:val="24"/>
          <w:lang w:val="en-US" w:eastAsia="zh-CN"/>
        </w:rPr>
        <w:t>0</w:t>
      </w:r>
      <w:r>
        <w:rPr>
          <w:rFonts w:hint="eastAsia" w:ascii="宋体" w:hAnsi="宋体"/>
          <w:color w:val="auto"/>
          <w:sz w:val="24"/>
          <w:szCs w:val="24"/>
          <w:lang w:val="zh-CN"/>
        </w:rPr>
        <w:t>人；</w:t>
      </w:r>
      <w:r>
        <w:rPr>
          <w:rFonts w:hint="eastAsia" w:ascii="宋体" w:hAnsi="宋体"/>
          <w:b/>
          <w:color w:val="auto"/>
          <w:sz w:val="24"/>
          <w:szCs w:val="24"/>
          <w:lang w:val="zh-CN"/>
        </w:rPr>
        <w:t>国(境)外公务接待</w:t>
      </w:r>
      <w:r>
        <w:rPr>
          <w:rFonts w:hint="eastAsia" w:ascii="宋体" w:hAnsi="宋体"/>
          <w:color w:val="auto"/>
          <w:sz w:val="24"/>
          <w:szCs w:val="24"/>
          <w:lang w:val="zh-CN"/>
        </w:rPr>
        <w:t>批次,</w:t>
      </w:r>
      <w:r>
        <w:rPr>
          <w:rFonts w:hint="eastAsia" w:ascii="宋体" w:hAnsi="宋体"/>
          <w:color w:val="auto"/>
          <w:sz w:val="24"/>
          <w:szCs w:val="24"/>
          <w:lang w:val="en-US" w:eastAsia="zh-CN"/>
        </w:rPr>
        <w:t>0</w:t>
      </w:r>
      <w:r>
        <w:rPr>
          <w:rFonts w:hint="eastAsia" w:ascii="宋体" w:hAnsi="宋体"/>
          <w:color w:val="auto"/>
          <w:sz w:val="24"/>
          <w:szCs w:val="24"/>
          <w:lang w:val="zh-CN"/>
        </w:rPr>
        <w:t>人。</w:t>
      </w:r>
    </w:p>
    <w:p>
      <w:pPr>
        <w:pageBreakBefore w:val="0"/>
        <w:kinsoku/>
        <w:wordWrap/>
        <w:overflowPunct/>
        <w:topLinePunct w:val="0"/>
        <w:autoSpaceDE/>
        <w:autoSpaceDN/>
        <w:bidi w:val="0"/>
        <w:adjustRightInd/>
        <w:snapToGrid/>
        <w:spacing w:before="100" w:beforeLines="0" w:after="100" w:afterLines="0" w:line="240" w:lineRule="auto"/>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w:t>
      </w:r>
      <w:r>
        <w:rPr>
          <w:rFonts w:hint="eastAsia" w:ascii="宋体" w:hAnsi="宋体"/>
          <w:b/>
          <w:bCs/>
          <w:color w:val="auto"/>
          <w:sz w:val="24"/>
          <w:szCs w:val="24"/>
          <w:lang w:val="zh-CN" w:eastAsia="zh-CN"/>
        </w:rPr>
        <w:t>、机关运行经费支出情况说明</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color w:val="FF0000"/>
          <w:sz w:val="24"/>
          <w:szCs w:val="24"/>
          <w:lang w:val="zh-CN"/>
        </w:rPr>
      </w:pPr>
      <w:r>
        <w:rPr>
          <w:rFonts w:hint="eastAsia" w:ascii="宋体" w:hAnsi="宋体"/>
          <w:color w:val="auto"/>
          <w:sz w:val="24"/>
          <w:szCs w:val="24"/>
          <w:lang w:val="zh-CN"/>
        </w:rPr>
        <w:t>本年度培训费支出0.35万元,较上年决算数增加0.18万元,增长105.88%,</w:t>
      </w:r>
      <w:r>
        <w:rPr>
          <w:rFonts w:hint="eastAsia" w:ascii="宋体" w:hAnsi="宋体"/>
          <w:color w:val="FF0000"/>
          <w:sz w:val="24"/>
          <w:szCs w:val="24"/>
          <w:lang w:val="zh-CN"/>
        </w:rPr>
        <w:t>主要原因是</w:t>
      </w:r>
      <w:r>
        <w:rPr>
          <w:rFonts w:hint="eastAsia" w:ascii="宋体" w:hAnsi="宋体"/>
          <w:color w:val="auto"/>
          <w:sz w:val="24"/>
          <w:szCs w:val="24"/>
          <w:lang w:val="zh-CN"/>
        </w:rPr>
        <w:t>外出培训人员</w:t>
      </w:r>
      <w:r>
        <w:rPr>
          <w:rFonts w:hint="eastAsia" w:ascii="宋体" w:hAnsi="宋体"/>
          <w:color w:val="auto"/>
          <w:sz w:val="24"/>
          <w:szCs w:val="24"/>
          <w:lang w:val="en-US" w:eastAsia="zh-CN"/>
        </w:rPr>
        <w:t>增加</w:t>
      </w:r>
      <w:r>
        <w:rPr>
          <w:rFonts w:hint="eastAsia" w:ascii="宋体" w:hAnsi="宋体"/>
          <w:color w:val="auto"/>
          <w:sz w:val="24"/>
          <w:szCs w:val="24"/>
          <w:lang w:val="zh-CN"/>
        </w:rPr>
        <w:t>。</w:t>
      </w:r>
    </w:p>
    <w:p>
      <w:pPr>
        <w:pageBreakBefore w:val="0"/>
        <w:kinsoku/>
        <w:wordWrap/>
        <w:overflowPunct/>
        <w:topLinePunct w:val="0"/>
        <w:autoSpaceDE/>
        <w:autoSpaceDN/>
        <w:bidi w:val="0"/>
        <w:adjustRightInd/>
        <w:snapToGrid/>
        <w:spacing w:before="100" w:beforeLines="0" w:after="100" w:afterLines="0" w:line="240" w:lineRule="auto"/>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十一、政府采购支出情况说明</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2023年度本部门政府采购支出合计4.90万元,其中：政府采购货物支出4.90万元、政府采购工程支出0.00万元、政府采购服务支出0.00万元。授予中小企业合同金额4.90万元,占政府采购支出总额的100.00%,其中：授予小微企业合同金额4.90万元,占政府采购支出总额的100.00%。</w:t>
      </w:r>
    </w:p>
    <w:p>
      <w:pPr>
        <w:pageBreakBefore w:val="0"/>
        <w:kinsoku/>
        <w:wordWrap/>
        <w:overflowPunct/>
        <w:topLinePunct w:val="0"/>
        <w:autoSpaceDE/>
        <w:autoSpaceDN/>
        <w:bidi w:val="0"/>
        <w:adjustRightInd/>
        <w:snapToGrid/>
        <w:spacing w:before="100" w:beforeLines="0" w:after="100" w:afterLines="0" w:line="240" w:lineRule="auto"/>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十二</w:t>
      </w:r>
      <w:r>
        <w:rPr>
          <w:rFonts w:hint="eastAsia" w:ascii="宋体" w:hAnsi="宋体"/>
          <w:b/>
          <w:bCs/>
          <w:color w:val="auto"/>
          <w:sz w:val="24"/>
          <w:szCs w:val="24"/>
          <w:lang w:val="zh-CN" w:eastAsia="zh-CN"/>
        </w:rPr>
        <w:t>、国有资产占用情况说明</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截至2023年12月31日,本部门共有车辆0辆,其中,副部(省)级及以上领导用车0辆、主要领导干部用车0辆、机要通信用车0辆、应急保障用车0辆、执法执勤用车0辆,特种专业技术用车0辆,离退休干部用车0辆,其他用车0辆</w:t>
      </w:r>
      <w:r>
        <w:rPr>
          <w:rFonts w:hint="eastAsia" w:ascii="宋体" w:hAnsi="宋体"/>
          <w:color w:val="FF0000"/>
          <w:sz w:val="24"/>
          <w:szCs w:val="24"/>
          <w:lang w:val="zh-CN"/>
        </w:rPr>
        <w:t>。</w:t>
      </w:r>
      <w:r>
        <w:rPr>
          <w:rFonts w:hint="eastAsia" w:ascii="宋体" w:hAnsi="宋体"/>
          <w:color w:val="auto"/>
          <w:sz w:val="24"/>
          <w:szCs w:val="24"/>
          <w:lang w:val="zh-CN"/>
        </w:rPr>
        <w:t>单价100万元(含)以上设备0台(套)。</w:t>
      </w:r>
    </w:p>
    <w:p>
      <w:pPr>
        <w:pageBreakBefore w:val="0"/>
        <w:kinsoku/>
        <w:wordWrap/>
        <w:overflowPunct/>
        <w:topLinePunct w:val="0"/>
        <w:autoSpaceDE/>
        <w:autoSpaceDN/>
        <w:bidi w:val="0"/>
        <w:adjustRightInd/>
        <w:snapToGrid/>
        <w:spacing w:before="100" w:beforeLines="0" w:after="100" w:afterLines="0" w:line="240" w:lineRule="auto"/>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十三、其他需要说明的情况</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由于决算公开表格中金额数值应当保留两位小数，公开数据为四舍五入计算结果，个别数据合计项与分项之和存在小数点后差额，特此说明。</w:t>
      </w:r>
    </w:p>
    <w:p>
      <w:pPr>
        <w:keepNext w:val="0"/>
        <w:keepLines w:val="0"/>
        <w:pageBreakBefore w:val="0"/>
        <w:widowControl/>
        <w:kinsoku/>
        <w:wordWrap/>
        <w:overflowPunct/>
        <w:topLinePunct w:val="0"/>
        <w:autoSpaceDE/>
        <w:autoSpaceDN/>
        <w:bidi w:val="0"/>
        <w:adjustRightInd/>
        <w:snapToGrid/>
        <w:spacing w:before="100" w:beforeLines="0" w:after="100" w:afterLines="0" w:line="240" w:lineRule="auto"/>
        <w:ind w:firstLine="0" w:firstLineChars="0"/>
        <w:jc w:val="center"/>
        <w:textAlignment w:val="auto"/>
        <w:rPr>
          <w:rFonts w:hint="eastAsia" w:ascii="宋体" w:hAnsi="宋体"/>
          <w:b/>
          <w:bCs/>
          <w:color w:val="auto"/>
          <w:sz w:val="24"/>
          <w:szCs w:val="24"/>
          <w:lang w:val="zh-CN" w:eastAsia="zh-CN"/>
        </w:rPr>
      </w:pPr>
    </w:p>
    <w:p>
      <w:pPr>
        <w:keepNext w:val="0"/>
        <w:keepLines w:val="0"/>
        <w:pageBreakBefore w:val="0"/>
        <w:widowControl/>
        <w:kinsoku/>
        <w:wordWrap/>
        <w:overflowPunct/>
        <w:topLinePunct w:val="0"/>
        <w:autoSpaceDE/>
        <w:autoSpaceDN/>
        <w:bidi w:val="0"/>
        <w:adjustRightInd/>
        <w:snapToGrid/>
        <w:spacing w:before="100" w:beforeLines="0" w:after="100" w:afterLines="0" w:line="240" w:lineRule="auto"/>
        <w:ind w:firstLine="0" w:firstLineChars="0"/>
        <w:jc w:val="center"/>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第四部分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预算绩效情况说明</w:t>
      </w:r>
    </w:p>
    <w:p>
      <w:pPr>
        <w:keepNext/>
        <w:keepLines/>
        <w:pageBreakBefore w:val="0"/>
        <w:suppressLineNumbers/>
        <w:kinsoku/>
        <w:wordWrap/>
        <w:overflowPunct/>
        <w:topLinePunct w:val="0"/>
        <w:autoSpaceDE/>
        <w:autoSpaceDN/>
        <w:bidi w:val="0"/>
        <w:adjustRightInd/>
        <w:snapToGrid/>
        <w:spacing w:beforeLines="0" w:afterLines="0" w:line="240" w:lineRule="auto"/>
        <w:ind w:firstLine="482" w:firstLineChars="200"/>
        <w:jc w:val="both"/>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一、预算绩效管理工作开展情况</w:t>
      </w:r>
    </w:p>
    <w:p>
      <w:pPr>
        <w:keepNext/>
        <w:keepLines/>
        <w:pageBreakBefore w:val="0"/>
        <w:suppressLineNumbers/>
        <w:kinsoku/>
        <w:wordWrap/>
        <w:overflowPunct/>
        <w:topLinePunct w:val="0"/>
        <w:autoSpaceDE/>
        <w:autoSpaceDN/>
        <w:bidi w:val="0"/>
        <w:adjustRightInd/>
        <w:snapToGrid/>
        <w:spacing w:beforeLines="0" w:afterLines="0" w:line="240" w:lineRule="auto"/>
        <w:ind w:firstLine="480" w:firstLineChars="200"/>
        <w:jc w:val="both"/>
        <w:textAlignment w:val="auto"/>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宋体" w:hAnsi="宋体" w:eastAsia="宋体" w:cs="宋体"/>
          <w:color w:val="000000" w:themeColor="text1"/>
          <w:kern w:val="0"/>
          <w:sz w:val="24"/>
          <w:szCs w:val="24"/>
          <w:lang w:val="en-US"/>
          <w14:textFill>
            <w14:solidFill>
              <w14:schemeClr w14:val="tx1"/>
            </w14:solidFill>
          </w14:textFill>
        </w:rPr>
        <w:t>根据预算绩效管理要求,本部门对</w:t>
      </w:r>
      <w:r>
        <w:rPr>
          <w:rFonts w:hint="eastAsia" w:ascii="宋体" w:hAnsi="宋体" w:eastAsia="宋体" w:cs="宋体"/>
          <w:color w:val="000000" w:themeColor="text1"/>
          <w:kern w:val="0"/>
          <w:sz w:val="24"/>
          <w:szCs w:val="24"/>
          <w:lang w:val="en-US" w:eastAsia="zh-CN"/>
          <w14:textFill>
            <w14:solidFill>
              <w14:schemeClr w14:val="tx1"/>
            </w14:solidFill>
          </w14:textFill>
        </w:rPr>
        <w:t>2023</w:t>
      </w:r>
      <w:r>
        <w:rPr>
          <w:rFonts w:hint="eastAsia" w:ascii="宋体" w:hAnsi="宋体" w:eastAsia="宋体" w:cs="宋体"/>
          <w:color w:val="000000" w:themeColor="text1"/>
          <w:kern w:val="0"/>
          <w:sz w:val="24"/>
          <w:szCs w:val="24"/>
          <w:lang w:val="en-US"/>
          <w14:textFill>
            <w14:solidFill>
              <w14:schemeClr w14:val="tx1"/>
            </w14:solidFill>
          </w14:textFill>
        </w:rPr>
        <w:t>年度一般公共预算项目支出全面开展绩效自评,其中,一级项目</w:t>
      </w:r>
      <w:r>
        <w:rPr>
          <w:rFonts w:hint="eastAsia" w:ascii="宋体" w:hAnsi="宋体" w:cs="宋体"/>
          <w:color w:val="000000" w:themeColor="text1"/>
          <w:kern w:val="0"/>
          <w:sz w:val="24"/>
          <w:szCs w:val="24"/>
          <w:lang w:val="en-US" w:eastAsia="zh-CN"/>
          <w14:textFill>
            <w14:solidFill>
              <w14:schemeClr w14:val="tx1"/>
            </w14:solidFill>
          </w14:textFill>
        </w:rPr>
        <w:t>1</w:t>
      </w:r>
      <w:r>
        <w:rPr>
          <w:rFonts w:hint="eastAsia" w:ascii="宋体" w:hAnsi="宋体" w:eastAsia="宋体" w:cs="宋体"/>
          <w:color w:val="000000" w:themeColor="text1"/>
          <w:kern w:val="0"/>
          <w:sz w:val="24"/>
          <w:szCs w:val="24"/>
          <w:lang w:val="en-US"/>
          <w14:textFill>
            <w14:solidFill>
              <w14:schemeClr w14:val="tx1"/>
            </w14:solidFill>
          </w14:textFill>
        </w:rPr>
        <w:t>个,二级项目</w:t>
      </w:r>
      <w:r>
        <w:rPr>
          <w:rFonts w:hint="eastAsia" w:ascii="宋体" w:hAnsi="宋体" w:cs="宋体"/>
          <w:color w:val="000000" w:themeColor="text1"/>
          <w:kern w:val="0"/>
          <w:sz w:val="24"/>
          <w:szCs w:val="24"/>
          <w:lang w:val="en-US" w:eastAsia="zh-CN"/>
          <w14:textFill>
            <w14:solidFill>
              <w14:schemeClr w14:val="tx1"/>
            </w14:solidFill>
          </w14:textFill>
        </w:rPr>
        <w:t>2</w:t>
      </w:r>
      <w:r>
        <w:rPr>
          <w:rFonts w:hint="eastAsia" w:ascii="宋体" w:hAnsi="宋体" w:eastAsia="宋体" w:cs="宋体"/>
          <w:color w:val="000000" w:themeColor="text1"/>
          <w:kern w:val="0"/>
          <w:sz w:val="24"/>
          <w:szCs w:val="24"/>
          <w:lang w:val="en-US"/>
          <w14:textFill>
            <w14:solidFill>
              <w14:schemeClr w14:val="tx1"/>
            </w14:solidFill>
          </w14:textFill>
        </w:rPr>
        <w:t>个,共涉及资金</w:t>
      </w:r>
      <w:r>
        <w:rPr>
          <w:rFonts w:hint="eastAsia" w:ascii="宋体" w:hAnsi="宋体" w:cs="宋体"/>
          <w:color w:val="000000" w:themeColor="text1"/>
          <w:kern w:val="0"/>
          <w:sz w:val="24"/>
          <w:szCs w:val="24"/>
          <w:lang w:val="en-US" w:eastAsia="zh-CN"/>
          <w14:textFill>
            <w14:solidFill>
              <w14:schemeClr w14:val="tx1"/>
            </w14:solidFill>
          </w14:textFill>
        </w:rPr>
        <w:t>7.3</w:t>
      </w:r>
      <w:r>
        <w:rPr>
          <w:rFonts w:hint="eastAsia" w:ascii="宋体" w:hAnsi="宋体" w:eastAsia="宋体" w:cs="宋体"/>
          <w:color w:val="000000" w:themeColor="text1"/>
          <w:kern w:val="0"/>
          <w:sz w:val="24"/>
          <w:szCs w:val="24"/>
          <w:lang w:val="en-US" w:eastAsia="zh-CN"/>
          <w14:textFill>
            <w14:solidFill>
              <w14:schemeClr w14:val="tx1"/>
            </w14:solidFill>
          </w14:textFill>
        </w:rPr>
        <w:t>万元</w:t>
      </w:r>
      <w:r>
        <w:rPr>
          <w:rFonts w:hint="eastAsia" w:ascii="宋体" w:hAnsi="宋体" w:eastAsia="宋体" w:cs="宋体"/>
          <w:color w:val="000000" w:themeColor="text1"/>
          <w:kern w:val="0"/>
          <w:sz w:val="24"/>
          <w:szCs w:val="24"/>
          <w:lang w:val="en-US"/>
          <w14:textFill>
            <w14:solidFill>
              <w14:schemeClr w14:val="tx1"/>
            </w14:solidFill>
          </w14:textFill>
        </w:rPr>
        <w:t>,占一般公共预算项目支出总额的</w:t>
      </w:r>
      <w:r>
        <w:rPr>
          <w:rFonts w:hint="eastAsia" w:ascii="宋体" w:hAnsi="宋体" w:cs="宋体"/>
          <w:color w:val="000000" w:themeColor="text1"/>
          <w:kern w:val="0"/>
          <w:sz w:val="24"/>
          <w:szCs w:val="24"/>
          <w:lang w:val="en-US" w:eastAsia="zh-CN"/>
          <w14:textFill>
            <w14:solidFill>
              <w14:schemeClr w14:val="tx1"/>
            </w14:solidFill>
          </w14:textFill>
        </w:rPr>
        <w:t>100</w:t>
      </w:r>
      <w:r>
        <w:rPr>
          <w:rFonts w:hint="eastAsia" w:ascii="宋体" w:hAnsi="宋体" w:eastAsia="宋体" w:cs="宋体"/>
          <w:color w:val="000000" w:themeColor="text1"/>
          <w:kern w:val="0"/>
          <w:sz w:val="24"/>
          <w:szCs w:val="24"/>
          <w:lang w:val="en-US"/>
          <w14:textFill>
            <w14:solidFill>
              <w14:schemeClr w14:val="tx1"/>
            </w14:solidFill>
          </w14:textFill>
        </w:rPr>
        <w:t>%。组织对</w:t>
      </w:r>
      <w:r>
        <w:rPr>
          <w:rFonts w:hint="eastAsia" w:ascii="宋体" w:hAnsi="宋体" w:eastAsia="宋体" w:cs="宋体"/>
          <w:color w:val="000000" w:themeColor="text1"/>
          <w:kern w:val="0"/>
          <w:sz w:val="24"/>
          <w:szCs w:val="24"/>
          <w:lang w:val="en-US" w:eastAsia="zh-CN"/>
          <w14:textFill>
            <w14:solidFill>
              <w14:schemeClr w14:val="tx1"/>
            </w14:solidFill>
          </w14:textFill>
        </w:rPr>
        <w:t>2023</w:t>
      </w:r>
      <w:r>
        <w:rPr>
          <w:rFonts w:hint="eastAsia" w:ascii="宋体" w:hAnsi="宋体" w:eastAsia="宋体" w:cs="宋体"/>
          <w:color w:val="000000" w:themeColor="text1"/>
          <w:kern w:val="0"/>
          <w:sz w:val="24"/>
          <w:szCs w:val="24"/>
          <w:lang w:val="en-US"/>
          <w14:textFill>
            <w14:solidFill>
              <w14:schemeClr w14:val="tx1"/>
            </w14:solidFill>
          </w14:textFill>
        </w:rPr>
        <w:t>年度</w:t>
      </w:r>
      <w:r>
        <w:rPr>
          <w:rFonts w:hint="eastAsia" w:ascii="宋体" w:hAnsi="宋体"/>
          <w:color w:val="000000" w:themeColor="text1"/>
          <w:kern w:val="0"/>
          <w:sz w:val="24"/>
          <w:szCs w:val="24"/>
          <w:lang w:val="en-US" w:eastAsia="zh-CN"/>
          <w14:textFill>
            <w14:solidFill>
              <w14:schemeClr w14:val="tx1"/>
            </w14:solidFill>
          </w14:textFill>
        </w:rPr>
        <w:t>学生营养餐</w:t>
      </w:r>
      <w:r>
        <w:rPr>
          <w:rFonts w:hint="default" w:ascii="宋体" w:hAnsi="宋体"/>
          <w:color w:val="000000" w:themeColor="text1"/>
          <w:kern w:val="0"/>
          <w:sz w:val="24"/>
          <w:szCs w:val="24"/>
          <w:lang w:val="en-US"/>
          <w14:textFill>
            <w14:solidFill>
              <w14:schemeClr w14:val="tx1"/>
            </w14:solidFill>
          </w14:textFill>
        </w:rPr>
        <w:t>”“</w:t>
      </w:r>
      <w:r>
        <w:rPr>
          <w:rFonts w:hint="eastAsia" w:ascii="宋体" w:hAnsi="宋体"/>
          <w:color w:val="000000" w:themeColor="text1"/>
          <w:kern w:val="0"/>
          <w:sz w:val="24"/>
          <w:szCs w:val="24"/>
          <w:lang w:val="en-US" w:eastAsia="zh-CN"/>
          <w14:textFill>
            <w14:solidFill>
              <w14:schemeClr w14:val="tx1"/>
            </w14:solidFill>
          </w14:textFill>
        </w:rPr>
        <w:t>困难学生生活补助</w:t>
      </w:r>
      <w:r>
        <w:rPr>
          <w:rFonts w:hint="eastAsia" w:ascii="宋体" w:hAnsi="宋体" w:eastAsia="宋体" w:cs="宋体"/>
          <w:color w:val="000000" w:themeColor="text1"/>
          <w:kern w:val="0"/>
          <w:sz w:val="24"/>
          <w:szCs w:val="24"/>
          <w:lang w:val="en-US"/>
          <w14:textFill>
            <w14:solidFill>
              <w14:schemeClr w14:val="tx1"/>
            </w14:solidFill>
          </w14:textFill>
        </w:rPr>
        <w:t>等</w:t>
      </w:r>
      <w:r>
        <w:rPr>
          <w:rFonts w:hint="eastAsia" w:ascii="宋体" w:hAnsi="宋体" w:cs="宋体"/>
          <w:color w:val="000000" w:themeColor="text1"/>
          <w:kern w:val="0"/>
          <w:sz w:val="24"/>
          <w:szCs w:val="24"/>
          <w:lang w:val="en-US" w:eastAsia="zh-CN"/>
          <w14:textFill>
            <w14:solidFill>
              <w14:schemeClr w14:val="tx1"/>
            </w14:solidFill>
          </w14:textFill>
        </w:rPr>
        <w:t>2</w:t>
      </w:r>
      <w:r>
        <w:rPr>
          <w:rFonts w:hint="eastAsia" w:ascii="宋体" w:hAnsi="宋体" w:eastAsia="宋体" w:cs="宋体"/>
          <w:color w:val="000000" w:themeColor="text1"/>
          <w:kern w:val="0"/>
          <w:sz w:val="24"/>
          <w:szCs w:val="24"/>
          <w:lang w:val="en-US"/>
          <w14:textFill>
            <w14:solidFill>
              <w14:schemeClr w14:val="tx1"/>
            </w14:solidFill>
          </w14:textFill>
        </w:rPr>
        <w:t>个项目开展了部门评价,涉及一般公共预算支出</w:t>
      </w:r>
      <w:r>
        <w:rPr>
          <w:rFonts w:hint="eastAsia" w:ascii="宋体" w:hAnsi="宋体" w:cs="宋体"/>
          <w:color w:val="000000" w:themeColor="text1"/>
          <w:kern w:val="0"/>
          <w:sz w:val="24"/>
          <w:szCs w:val="24"/>
          <w:lang w:val="en-US" w:eastAsia="zh-CN"/>
          <w14:textFill>
            <w14:solidFill>
              <w14:schemeClr w14:val="tx1"/>
            </w14:solidFill>
          </w14:textFill>
        </w:rPr>
        <w:t>7.3</w:t>
      </w:r>
      <w:r>
        <w:rPr>
          <w:rFonts w:hint="eastAsia" w:ascii="宋体" w:hAnsi="宋体" w:eastAsia="宋体" w:cs="宋体"/>
          <w:color w:val="000000" w:themeColor="text1"/>
          <w:kern w:val="0"/>
          <w:sz w:val="24"/>
          <w:szCs w:val="24"/>
          <w:lang w:val="en-US" w:eastAsia="zh-CN"/>
          <w14:textFill>
            <w14:solidFill>
              <w14:schemeClr w14:val="tx1"/>
            </w14:solidFill>
          </w14:textFill>
        </w:rPr>
        <w:t>万元</w:t>
      </w:r>
      <w:r>
        <w:rPr>
          <w:rFonts w:hint="eastAsia" w:ascii="宋体" w:hAnsi="宋体" w:eastAsia="宋体" w:cs="宋体"/>
          <w:color w:val="000000" w:themeColor="text1"/>
          <w:kern w:val="0"/>
          <w:sz w:val="24"/>
          <w:szCs w:val="24"/>
          <w:lang w:val="en-US"/>
          <w14:textFill>
            <w14:solidFill>
              <w14:schemeClr w14:val="tx1"/>
            </w14:solidFill>
          </w14:textFill>
        </w:rPr>
        <w:t>。从评价情况来看,</w:t>
      </w:r>
      <w:r>
        <w:rPr>
          <w:rFonts w:hint="eastAsia" w:ascii="宋体" w:hAnsi="宋体"/>
          <w:color w:val="000000" w:themeColor="text1"/>
          <w:kern w:val="0"/>
          <w:sz w:val="24"/>
          <w:szCs w:val="24"/>
          <w:lang w:val="en-US" w:eastAsia="zh-CN"/>
          <w14:textFill>
            <w14:solidFill>
              <w14:schemeClr w14:val="tx1"/>
            </w14:solidFill>
          </w14:textFill>
        </w:rPr>
        <w:t>从项目的经济性、效率性、有效性和可持续性等方面进行量化、具体分析，综合得分均为100分</w:t>
      </w:r>
      <w:r>
        <w:rPr>
          <w:rFonts w:hint="eastAsia" w:ascii="宋体" w:hAnsi="宋体"/>
          <w:color w:val="000000" w:themeColor="text1"/>
          <w:kern w:val="0"/>
          <w:sz w:val="24"/>
          <w:szCs w:val="24"/>
          <w:lang w:val="en-US"/>
          <w14:textFill>
            <w14:solidFill>
              <w14:schemeClr w14:val="tx1"/>
            </w14:solidFill>
          </w14:textFill>
        </w:rPr>
        <w:t>。</w:t>
      </w:r>
    </w:p>
    <w:p>
      <w:pPr>
        <w:pageBreakBefore w:val="0"/>
        <w:numPr>
          <w:ilvl w:val="0"/>
          <w:numId w:val="4"/>
        </w:numPr>
        <w:kinsoku/>
        <w:wordWrap/>
        <w:overflowPunct/>
        <w:topLinePunct w:val="0"/>
        <w:autoSpaceDE/>
        <w:autoSpaceDN/>
        <w:bidi w:val="0"/>
        <w:adjustRightInd/>
        <w:snapToGrid/>
        <w:spacing w:before="100" w:beforeLines="0" w:after="100" w:afterLines="0" w:line="240" w:lineRule="auto"/>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绩效自评结果</w:t>
      </w:r>
    </w:p>
    <w:p>
      <w:pPr>
        <w:keepNext w:val="0"/>
        <w:keepLines w:val="0"/>
        <w:pageBreakBefore w:val="0"/>
        <w:widowControl/>
        <w:numPr>
          <w:ilvl w:val="0"/>
          <w:numId w:val="0"/>
        </w:numPr>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eastAsia="宋体" w:cs="宋体"/>
          <w:color w:val="000000"/>
          <w:kern w:val="0"/>
          <w:sz w:val="24"/>
          <w:szCs w:val="24"/>
          <w:highlight w:val="none"/>
          <w:lang w:val="en-US"/>
        </w:rPr>
      </w:pPr>
      <w:r>
        <w:rPr>
          <w:rFonts w:hint="eastAsia" w:ascii="宋体" w:hAnsi="宋体" w:eastAsia="宋体" w:cs="宋体"/>
          <w:color w:val="000000"/>
          <w:kern w:val="0"/>
          <w:sz w:val="24"/>
          <w:szCs w:val="24"/>
          <w:highlight w:val="none"/>
          <w:lang w:val="en-US"/>
        </w:rPr>
        <w:t>我部门在</w:t>
      </w:r>
      <w:r>
        <w:rPr>
          <w:rFonts w:hint="eastAsia" w:ascii="宋体" w:hAnsi="宋体" w:eastAsia="宋体" w:cs="宋体"/>
          <w:color w:val="000000"/>
          <w:kern w:val="0"/>
          <w:sz w:val="24"/>
          <w:szCs w:val="24"/>
          <w:highlight w:val="none"/>
          <w:lang w:val="en-US" w:eastAsia="zh-CN"/>
        </w:rPr>
        <w:t>2023</w:t>
      </w:r>
      <w:r>
        <w:rPr>
          <w:rFonts w:hint="eastAsia" w:ascii="宋体" w:hAnsi="宋体" w:eastAsia="宋体" w:cs="宋体"/>
          <w:color w:val="000000"/>
          <w:kern w:val="0"/>
          <w:sz w:val="24"/>
          <w:szCs w:val="24"/>
          <w:highlight w:val="none"/>
          <w:lang w:val="en-US"/>
        </w:rPr>
        <w:t>年度部门决算中反映</w:t>
      </w:r>
      <w:r>
        <w:rPr>
          <w:rFonts w:hint="eastAsia" w:ascii="宋体" w:hAnsi="宋体"/>
          <w:color w:val="auto"/>
          <w:kern w:val="0"/>
          <w:sz w:val="24"/>
          <w:szCs w:val="24"/>
          <w:lang w:val="en-US" w:eastAsia="zh-CN"/>
        </w:rPr>
        <w:t>学生营养餐、困难学生生活补助</w:t>
      </w:r>
      <w:r>
        <w:rPr>
          <w:rFonts w:hint="eastAsia" w:ascii="宋体" w:hAnsi="宋体"/>
          <w:color w:val="auto"/>
          <w:kern w:val="0"/>
          <w:sz w:val="24"/>
          <w:szCs w:val="24"/>
          <w:lang w:val="en-US"/>
        </w:rPr>
        <w:t>等</w:t>
      </w:r>
      <w:r>
        <w:rPr>
          <w:rFonts w:hint="eastAsia" w:ascii="宋体" w:hAnsi="宋体"/>
          <w:color w:val="auto"/>
          <w:kern w:val="0"/>
          <w:sz w:val="24"/>
          <w:szCs w:val="24"/>
          <w:lang w:val="en-US" w:eastAsia="zh-CN"/>
        </w:rPr>
        <w:t>2</w:t>
      </w:r>
      <w:r>
        <w:rPr>
          <w:rFonts w:hint="eastAsia" w:ascii="宋体" w:hAnsi="宋体" w:eastAsia="宋体" w:cs="宋体"/>
          <w:color w:val="000000"/>
          <w:kern w:val="0"/>
          <w:sz w:val="24"/>
          <w:szCs w:val="24"/>
          <w:highlight w:val="none"/>
          <w:lang w:val="en-US"/>
        </w:rPr>
        <w:t>项目绩效自评结果。</w:t>
      </w:r>
    </w:p>
    <w:p>
      <w:pPr>
        <w:keepNext w:val="0"/>
        <w:keepLines w:val="0"/>
        <w:pageBreakBefore w:val="0"/>
        <w:widowControl/>
        <w:numPr>
          <w:ilvl w:val="0"/>
          <w:numId w:val="0"/>
        </w:numPr>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color w:val="000000" w:themeColor="text1"/>
          <w:kern w:val="0"/>
          <w:sz w:val="24"/>
          <w:szCs w:val="24"/>
          <w:lang w:val="en-US"/>
          <w14:textFill>
            <w14:solidFill>
              <w14:schemeClr w14:val="tx1"/>
            </w14:solidFill>
          </w14:textFill>
        </w:rPr>
      </w:pPr>
      <w:r>
        <w:rPr>
          <w:rFonts w:hint="eastAsia" w:ascii="宋体" w:hAnsi="宋体"/>
          <w:color w:val="auto"/>
          <w:kern w:val="0"/>
          <w:sz w:val="24"/>
          <w:szCs w:val="24"/>
          <w:lang w:val="en-US" w:eastAsia="zh-CN"/>
        </w:rPr>
        <w:t>学生营养餐</w:t>
      </w:r>
      <w:r>
        <w:rPr>
          <w:rFonts w:hint="eastAsia" w:ascii="宋体" w:hAnsi="宋体"/>
          <w:color w:val="auto"/>
          <w:kern w:val="0"/>
          <w:sz w:val="24"/>
          <w:szCs w:val="24"/>
          <w:lang w:val="en-US"/>
        </w:rPr>
        <w:t>项目绩效自评情况：根据年初设定的绩效目标,项目绩效自评得分为</w:t>
      </w:r>
      <w:r>
        <w:rPr>
          <w:rFonts w:hint="default" w:ascii="宋体" w:hAnsi="宋体"/>
          <w:color w:val="auto"/>
          <w:kern w:val="0"/>
          <w:sz w:val="24"/>
          <w:szCs w:val="24"/>
          <w:lang w:val="en-US" w:eastAsia="zh-CN"/>
        </w:rPr>
        <w:t>100</w:t>
      </w:r>
      <w:r>
        <w:rPr>
          <w:rFonts w:hint="eastAsia" w:ascii="宋体" w:hAnsi="宋体"/>
          <w:color w:val="auto"/>
          <w:kern w:val="0"/>
          <w:sz w:val="24"/>
          <w:szCs w:val="24"/>
          <w:lang w:val="en-US"/>
        </w:rPr>
        <w:t>分。项目全年预算数为</w:t>
      </w:r>
      <w:r>
        <w:rPr>
          <w:rFonts w:hint="eastAsia" w:ascii="宋体" w:hAnsi="宋体"/>
          <w:color w:val="auto"/>
          <w:kern w:val="0"/>
          <w:sz w:val="24"/>
          <w:szCs w:val="24"/>
          <w:lang w:val="en-US" w:eastAsia="zh-CN"/>
        </w:rPr>
        <w:t xml:space="preserve"> 7.3万</w:t>
      </w:r>
      <w:r>
        <w:rPr>
          <w:rFonts w:hint="eastAsia" w:ascii="宋体" w:hAnsi="宋体"/>
          <w:color w:val="auto"/>
          <w:kern w:val="0"/>
          <w:sz w:val="24"/>
          <w:szCs w:val="24"/>
          <w:lang w:val="en-US"/>
        </w:rPr>
        <w:t>元,执行数为</w:t>
      </w:r>
      <w:r>
        <w:rPr>
          <w:rFonts w:hint="eastAsia" w:ascii="宋体" w:hAnsi="宋体"/>
          <w:color w:val="auto"/>
          <w:kern w:val="0"/>
          <w:sz w:val="24"/>
          <w:szCs w:val="24"/>
          <w:lang w:val="en-US" w:eastAsia="zh-CN"/>
        </w:rPr>
        <w:t>7.3万</w:t>
      </w:r>
      <w:r>
        <w:rPr>
          <w:rFonts w:hint="eastAsia" w:ascii="宋体" w:hAnsi="宋体"/>
          <w:color w:val="auto"/>
          <w:kern w:val="0"/>
          <w:sz w:val="24"/>
          <w:szCs w:val="24"/>
          <w:lang w:val="en-US"/>
        </w:rPr>
        <w:t>元,完成预算的</w:t>
      </w:r>
      <w:r>
        <w:rPr>
          <w:rFonts w:hint="eastAsia" w:ascii="宋体" w:hAnsi="宋体"/>
          <w:color w:val="auto"/>
          <w:kern w:val="0"/>
          <w:sz w:val="24"/>
          <w:szCs w:val="24"/>
          <w:lang w:val="en-US" w:eastAsia="zh-CN"/>
        </w:rPr>
        <w:t>100</w:t>
      </w:r>
      <w:r>
        <w:rPr>
          <w:rFonts w:hint="eastAsia" w:ascii="宋体" w:hAnsi="宋体"/>
          <w:color w:val="auto"/>
          <w:kern w:val="0"/>
          <w:sz w:val="24"/>
          <w:szCs w:val="24"/>
          <w:lang w:val="en-US"/>
        </w:rPr>
        <w:t>%。项目绩效目标完成情况：一是</w:t>
      </w:r>
      <w:r>
        <w:rPr>
          <w:rFonts w:hint="eastAsia" w:ascii="宋体" w:hAnsi="宋体"/>
          <w:color w:val="auto"/>
          <w:kern w:val="0"/>
          <w:sz w:val="24"/>
          <w:szCs w:val="24"/>
          <w:lang w:val="en-US" w:eastAsia="zh-CN"/>
        </w:rPr>
        <w:t>资金拨付和使用按照计划完成</w:t>
      </w:r>
      <w:r>
        <w:rPr>
          <w:rFonts w:hint="eastAsia" w:ascii="宋体" w:hAnsi="宋体"/>
          <w:color w:val="auto"/>
          <w:kern w:val="0"/>
          <w:sz w:val="24"/>
          <w:szCs w:val="24"/>
          <w:lang w:val="en-US"/>
        </w:rPr>
        <w:t>；二是</w:t>
      </w:r>
      <w:r>
        <w:rPr>
          <w:rFonts w:hint="eastAsia" w:ascii="宋体" w:hAnsi="宋体"/>
          <w:color w:val="auto"/>
          <w:kern w:val="0"/>
          <w:sz w:val="24"/>
          <w:szCs w:val="24"/>
          <w:lang w:val="en-US" w:eastAsia="zh-CN"/>
        </w:rPr>
        <w:t>确保我校121名学生营养得到保障</w:t>
      </w:r>
      <w:r>
        <w:rPr>
          <w:rFonts w:hint="eastAsia" w:ascii="宋体" w:hAnsi="宋体"/>
          <w:color w:val="auto"/>
          <w:kern w:val="0"/>
          <w:sz w:val="24"/>
          <w:szCs w:val="24"/>
          <w:lang w:val="en-US"/>
        </w:rPr>
        <w:t>。发现的主要问题及原因：</w:t>
      </w:r>
      <w:r>
        <w:rPr>
          <w:rFonts w:hint="eastAsia" w:ascii="宋体" w:hAnsi="宋体"/>
          <w:color w:val="auto"/>
          <w:kern w:val="0"/>
          <w:sz w:val="24"/>
          <w:szCs w:val="24"/>
          <w:lang w:val="en-US" w:eastAsia="zh-CN"/>
        </w:rPr>
        <w:t>随着物价上涨，补助标准有待提高</w:t>
      </w:r>
      <w:r>
        <w:rPr>
          <w:rFonts w:hint="eastAsia" w:ascii="宋体" w:hAnsi="宋体"/>
          <w:color w:val="auto"/>
          <w:kern w:val="0"/>
          <w:sz w:val="24"/>
          <w:szCs w:val="24"/>
          <w:lang w:val="en-US"/>
        </w:rPr>
        <w:t>。下一步</w:t>
      </w:r>
      <w:r>
        <w:rPr>
          <w:rFonts w:hint="eastAsia" w:ascii="宋体" w:hAnsi="宋体"/>
          <w:color w:val="000000" w:themeColor="text1"/>
          <w:kern w:val="0"/>
          <w:sz w:val="24"/>
          <w:szCs w:val="24"/>
          <w:lang w:val="en-US"/>
          <w14:textFill>
            <w14:solidFill>
              <w14:schemeClr w14:val="tx1"/>
            </w14:solidFill>
          </w14:textFill>
        </w:rPr>
        <w:t>改进措施：</w:t>
      </w:r>
      <w:r>
        <w:rPr>
          <w:rFonts w:hint="eastAsia" w:ascii="宋体" w:hAnsi="宋体"/>
          <w:color w:val="000000" w:themeColor="text1"/>
          <w:kern w:val="0"/>
          <w:sz w:val="24"/>
          <w:szCs w:val="24"/>
          <w:lang w:val="en-US" w:eastAsia="zh-CN"/>
          <w14:textFill>
            <w14:solidFill>
              <w14:schemeClr w14:val="tx1"/>
            </w14:solidFill>
          </w14:textFill>
        </w:rPr>
        <w:t>完善相关机制，保障项目实施</w:t>
      </w:r>
      <w:r>
        <w:rPr>
          <w:rFonts w:hint="eastAsia" w:ascii="宋体" w:hAnsi="宋体"/>
          <w:color w:val="000000" w:themeColor="text1"/>
          <w:kern w:val="0"/>
          <w:sz w:val="24"/>
          <w:szCs w:val="24"/>
          <w:lang w:val="en-US"/>
          <w14:textFill>
            <w14:solidFill>
              <w14:schemeClr w14:val="tx1"/>
            </w14:solidFill>
          </w14:textFill>
        </w:rPr>
        <w:t>。</w:t>
      </w:r>
    </w:p>
    <w:p>
      <w:pPr>
        <w:keepNext w:val="0"/>
        <w:keepLines w:val="0"/>
        <w:pageBreakBefore w:val="0"/>
        <w:widowControl/>
        <w:numPr>
          <w:ilvl w:val="0"/>
          <w:numId w:val="0"/>
        </w:numPr>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color w:val="000000" w:themeColor="text1"/>
          <w:kern w:val="0"/>
          <w:sz w:val="24"/>
          <w:szCs w:val="24"/>
          <w:lang w:val="en-US"/>
          <w14:textFill>
            <w14:solidFill>
              <w14:schemeClr w14:val="tx1"/>
            </w14:solidFill>
          </w14:textFill>
        </w:rPr>
      </w:pPr>
      <w:r>
        <w:rPr>
          <w:rFonts w:hint="eastAsia" w:ascii="宋体" w:hAnsi="宋体"/>
          <w:color w:val="000000" w:themeColor="text1"/>
          <w:kern w:val="0"/>
          <w:sz w:val="24"/>
          <w:szCs w:val="24"/>
          <w:lang w:val="en-US" w:eastAsia="zh-CN"/>
          <w14:textFill>
            <w14:solidFill>
              <w14:schemeClr w14:val="tx1"/>
            </w14:solidFill>
          </w14:textFill>
        </w:rPr>
        <w:t>1.学生营养餐</w:t>
      </w:r>
      <w:r>
        <w:rPr>
          <w:rFonts w:hint="eastAsia" w:ascii="宋体" w:hAnsi="宋体" w:eastAsia="宋体" w:cs="宋体"/>
          <w:color w:val="000000" w:themeColor="text1"/>
          <w:kern w:val="0"/>
          <w:sz w:val="24"/>
          <w:szCs w:val="24"/>
          <w:lang w:val="en-US"/>
          <w14:textFill>
            <w14:solidFill>
              <w14:schemeClr w14:val="tx1"/>
            </w14:solidFill>
          </w14:textFill>
        </w:rPr>
        <w:t>项目绩效自评情况：根据年初设定的绩效目标,项目绩效自评得分为</w:t>
      </w:r>
      <w:r>
        <w:rPr>
          <w:rFonts w:hint="eastAsia" w:ascii="宋体" w:hAnsi="宋体" w:cs="宋体"/>
          <w:color w:val="000000" w:themeColor="text1"/>
          <w:kern w:val="0"/>
          <w:sz w:val="24"/>
          <w:szCs w:val="24"/>
          <w:lang w:val="en-US" w:eastAsia="zh-CN"/>
          <w14:textFill>
            <w14:solidFill>
              <w14:schemeClr w14:val="tx1"/>
            </w14:solidFill>
          </w14:textFill>
        </w:rPr>
        <w:t>100</w:t>
      </w:r>
      <w:r>
        <w:rPr>
          <w:rFonts w:hint="eastAsia" w:ascii="宋体" w:hAnsi="宋体" w:eastAsia="宋体" w:cs="宋体"/>
          <w:color w:val="000000" w:themeColor="text1"/>
          <w:kern w:val="0"/>
          <w:sz w:val="24"/>
          <w:szCs w:val="24"/>
          <w:lang w:val="en-US"/>
          <w14:textFill>
            <w14:solidFill>
              <w14:schemeClr w14:val="tx1"/>
            </w14:solidFill>
          </w14:textFill>
        </w:rPr>
        <w:t>分。项目全年预算数为</w:t>
      </w:r>
      <w:r>
        <w:rPr>
          <w:rFonts w:hint="eastAsia" w:ascii="宋体" w:hAnsi="宋体" w:cs="宋体"/>
          <w:color w:val="000000" w:themeColor="text1"/>
          <w:kern w:val="0"/>
          <w:sz w:val="24"/>
          <w:szCs w:val="24"/>
          <w:lang w:val="en-US" w:eastAsia="zh-CN"/>
          <w14:textFill>
            <w14:solidFill>
              <w14:schemeClr w14:val="tx1"/>
            </w14:solidFill>
          </w14:textFill>
        </w:rPr>
        <w:t>6.05</w:t>
      </w:r>
      <w:r>
        <w:rPr>
          <w:rFonts w:hint="eastAsia" w:ascii="宋体" w:hAnsi="宋体" w:eastAsia="宋体" w:cs="宋体"/>
          <w:color w:val="000000" w:themeColor="text1"/>
          <w:kern w:val="0"/>
          <w:sz w:val="24"/>
          <w:szCs w:val="24"/>
          <w:lang w:val="en-US" w:eastAsia="zh-CN"/>
          <w14:textFill>
            <w14:solidFill>
              <w14:schemeClr w14:val="tx1"/>
            </w14:solidFill>
          </w14:textFill>
        </w:rPr>
        <w:t>万元</w:t>
      </w:r>
      <w:r>
        <w:rPr>
          <w:rFonts w:hint="eastAsia" w:ascii="宋体" w:hAnsi="宋体" w:eastAsia="宋体" w:cs="宋体"/>
          <w:color w:val="000000" w:themeColor="text1"/>
          <w:kern w:val="0"/>
          <w:sz w:val="24"/>
          <w:szCs w:val="24"/>
          <w:lang w:val="en-US"/>
          <w14:textFill>
            <w14:solidFill>
              <w14:schemeClr w14:val="tx1"/>
            </w14:solidFill>
          </w14:textFill>
        </w:rPr>
        <w:t>,执行数为</w:t>
      </w:r>
      <w:r>
        <w:rPr>
          <w:rFonts w:hint="eastAsia" w:ascii="宋体" w:hAnsi="宋体" w:cs="宋体"/>
          <w:color w:val="000000" w:themeColor="text1"/>
          <w:kern w:val="0"/>
          <w:sz w:val="24"/>
          <w:szCs w:val="24"/>
          <w:lang w:val="en-US" w:eastAsia="zh-CN"/>
          <w14:textFill>
            <w14:solidFill>
              <w14:schemeClr w14:val="tx1"/>
            </w14:solidFill>
          </w14:textFill>
        </w:rPr>
        <w:t>6.05</w:t>
      </w:r>
      <w:r>
        <w:rPr>
          <w:rFonts w:hint="eastAsia" w:ascii="宋体" w:hAnsi="宋体" w:eastAsia="宋体" w:cs="宋体"/>
          <w:color w:val="000000" w:themeColor="text1"/>
          <w:kern w:val="0"/>
          <w:sz w:val="24"/>
          <w:szCs w:val="24"/>
          <w:lang w:val="en-US" w:eastAsia="zh-CN"/>
          <w14:textFill>
            <w14:solidFill>
              <w14:schemeClr w14:val="tx1"/>
            </w14:solidFill>
          </w14:textFill>
        </w:rPr>
        <w:t>万元</w:t>
      </w:r>
      <w:r>
        <w:rPr>
          <w:rFonts w:hint="eastAsia" w:ascii="宋体" w:hAnsi="宋体" w:eastAsia="宋体" w:cs="宋体"/>
          <w:color w:val="000000" w:themeColor="text1"/>
          <w:kern w:val="0"/>
          <w:sz w:val="24"/>
          <w:szCs w:val="24"/>
          <w:lang w:val="en-US"/>
          <w14:textFill>
            <w14:solidFill>
              <w14:schemeClr w14:val="tx1"/>
            </w14:solidFill>
          </w14:textFill>
        </w:rPr>
        <w:t>,完成预算的</w:t>
      </w:r>
      <w:r>
        <w:rPr>
          <w:rFonts w:hint="eastAsia" w:ascii="宋体" w:hAnsi="宋体" w:cs="宋体"/>
          <w:color w:val="000000" w:themeColor="text1"/>
          <w:kern w:val="0"/>
          <w:sz w:val="24"/>
          <w:szCs w:val="24"/>
          <w:lang w:val="en-US" w:eastAsia="zh-CN"/>
          <w14:textFill>
            <w14:solidFill>
              <w14:schemeClr w14:val="tx1"/>
            </w14:solidFill>
          </w14:textFill>
        </w:rPr>
        <w:t>100</w:t>
      </w:r>
      <w:r>
        <w:rPr>
          <w:rFonts w:hint="eastAsia" w:ascii="宋体" w:hAnsi="宋体" w:eastAsia="宋体" w:cs="宋体"/>
          <w:color w:val="000000" w:themeColor="text1"/>
          <w:kern w:val="0"/>
          <w:sz w:val="24"/>
          <w:szCs w:val="24"/>
          <w:lang w:val="en-US"/>
          <w14:textFill>
            <w14:solidFill>
              <w14:schemeClr w14:val="tx1"/>
            </w14:solidFill>
          </w14:textFill>
        </w:rPr>
        <w:t>%。项目绩效目标完成情况：</w:t>
      </w:r>
      <w:r>
        <w:rPr>
          <w:rFonts w:hint="eastAsia" w:ascii="宋体" w:hAnsi="宋体"/>
          <w:color w:val="000000" w:themeColor="text1"/>
          <w:kern w:val="0"/>
          <w:sz w:val="24"/>
          <w:szCs w:val="24"/>
          <w:lang w:val="en-US"/>
          <w14:textFill>
            <w14:solidFill>
              <w14:schemeClr w14:val="tx1"/>
            </w14:solidFill>
          </w14:textFill>
        </w:rPr>
        <w:t>一是</w:t>
      </w:r>
      <w:r>
        <w:rPr>
          <w:rFonts w:hint="eastAsia" w:ascii="宋体" w:hAnsi="宋体"/>
          <w:color w:val="000000" w:themeColor="text1"/>
          <w:kern w:val="0"/>
          <w:sz w:val="24"/>
          <w:szCs w:val="24"/>
          <w:lang w:val="en-US" w:eastAsia="zh-CN"/>
          <w14:textFill>
            <w14:solidFill>
              <w14:schemeClr w14:val="tx1"/>
            </w14:solidFill>
          </w14:textFill>
        </w:rPr>
        <w:t>资金拨付和使用按照计划完成</w:t>
      </w:r>
      <w:r>
        <w:rPr>
          <w:rFonts w:hint="eastAsia" w:ascii="宋体" w:hAnsi="宋体"/>
          <w:color w:val="000000" w:themeColor="text1"/>
          <w:kern w:val="0"/>
          <w:sz w:val="24"/>
          <w:szCs w:val="24"/>
          <w:lang w:val="en-US"/>
          <w14:textFill>
            <w14:solidFill>
              <w14:schemeClr w14:val="tx1"/>
            </w14:solidFill>
          </w14:textFill>
        </w:rPr>
        <w:t>；二是</w:t>
      </w:r>
      <w:r>
        <w:rPr>
          <w:rFonts w:hint="eastAsia" w:ascii="宋体" w:hAnsi="宋体"/>
          <w:color w:val="000000" w:themeColor="text1"/>
          <w:kern w:val="0"/>
          <w:sz w:val="24"/>
          <w:szCs w:val="24"/>
          <w:lang w:val="en-US" w:eastAsia="zh-CN"/>
          <w14:textFill>
            <w14:solidFill>
              <w14:schemeClr w14:val="tx1"/>
            </w14:solidFill>
          </w14:textFill>
        </w:rPr>
        <w:t>确保我校121名学生营养得到保障</w:t>
      </w:r>
      <w:r>
        <w:rPr>
          <w:rFonts w:hint="eastAsia" w:ascii="宋体" w:hAnsi="宋体"/>
          <w:color w:val="000000" w:themeColor="text1"/>
          <w:kern w:val="0"/>
          <w:sz w:val="24"/>
          <w:szCs w:val="24"/>
          <w:lang w:val="en-US"/>
          <w14:textFill>
            <w14:solidFill>
              <w14:schemeClr w14:val="tx1"/>
            </w14:solidFill>
          </w14:textFill>
        </w:rPr>
        <w:t>。发现的主要问题及原因：</w:t>
      </w:r>
      <w:r>
        <w:rPr>
          <w:rFonts w:hint="eastAsia" w:ascii="宋体" w:hAnsi="宋体"/>
          <w:color w:val="000000" w:themeColor="text1"/>
          <w:kern w:val="0"/>
          <w:sz w:val="24"/>
          <w:szCs w:val="24"/>
          <w:lang w:val="en-US" w:eastAsia="zh-CN"/>
          <w14:textFill>
            <w14:solidFill>
              <w14:schemeClr w14:val="tx1"/>
            </w14:solidFill>
          </w14:textFill>
        </w:rPr>
        <w:t>随着物价上涨，补助标准有待提高</w:t>
      </w:r>
      <w:r>
        <w:rPr>
          <w:rFonts w:hint="eastAsia" w:ascii="宋体" w:hAnsi="宋体"/>
          <w:color w:val="000000" w:themeColor="text1"/>
          <w:kern w:val="0"/>
          <w:sz w:val="24"/>
          <w:szCs w:val="24"/>
          <w:lang w:val="en-US"/>
          <w14:textFill>
            <w14:solidFill>
              <w14:schemeClr w14:val="tx1"/>
            </w14:solidFill>
          </w14:textFill>
        </w:rPr>
        <w:t>。下一步改进措施：</w:t>
      </w:r>
      <w:r>
        <w:rPr>
          <w:rFonts w:hint="eastAsia" w:ascii="宋体" w:hAnsi="宋体"/>
          <w:color w:val="000000" w:themeColor="text1"/>
          <w:kern w:val="0"/>
          <w:sz w:val="24"/>
          <w:szCs w:val="24"/>
          <w:lang w:val="en-US" w:eastAsia="zh-CN"/>
          <w14:textFill>
            <w14:solidFill>
              <w14:schemeClr w14:val="tx1"/>
            </w14:solidFill>
          </w14:textFill>
        </w:rPr>
        <w:t>完善相关机制，保障项目实施</w:t>
      </w:r>
      <w:r>
        <w:rPr>
          <w:rFonts w:hint="eastAsia" w:ascii="宋体" w:hAnsi="宋体"/>
          <w:color w:val="000000" w:themeColor="text1"/>
          <w:kern w:val="0"/>
          <w:sz w:val="24"/>
          <w:szCs w:val="24"/>
          <w:lang w:val="en-US"/>
          <w14:textFill>
            <w14:solidFill>
              <w14:schemeClr w14:val="tx1"/>
            </w14:solidFill>
          </w14:textFill>
        </w:rPr>
        <w:t>。</w:t>
      </w:r>
    </w:p>
    <w:p>
      <w:pPr>
        <w:keepNext/>
        <w:keepLines/>
        <w:pageBreakBefore w:val="0"/>
        <w:widowControl/>
        <w:numPr>
          <w:ilvl w:val="0"/>
          <w:numId w:val="0"/>
        </w:numPr>
        <w:suppressLineNumbers/>
        <w:kinsoku/>
        <w:wordWrap/>
        <w:overflowPunct/>
        <w:topLinePunct w:val="0"/>
        <w:autoSpaceDE/>
        <w:autoSpaceDN/>
        <w:bidi w:val="0"/>
        <w:adjustRightInd/>
        <w:snapToGrid/>
        <w:spacing w:beforeLines="0" w:afterLines="0" w:line="240" w:lineRule="auto"/>
        <w:ind w:leftChars="0" w:firstLine="480"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kern w:val="0"/>
          <w:sz w:val="24"/>
          <w:szCs w:val="24"/>
          <w:lang w:val="en-US" w:eastAsia="zh-CN"/>
          <w14:textFill>
            <w14:solidFill>
              <w14:schemeClr w14:val="tx1"/>
            </w14:solidFill>
          </w14:textFill>
        </w:rPr>
        <w:t>2.困难学生生活补助</w:t>
      </w:r>
      <w:r>
        <w:rPr>
          <w:rFonts w:hint="eastAsia" w:ascii="宋体" w:hAnsi="宋体"/>
          <w:color w:val="000000" w:themeColor="text1"/>
          <w:kern w:val="0"/>
          <w:sz w:val="24"/>
          <w:szCs w:val="24"/>
          <w:lang w:val="en-US"/>
          <w14:textFill>
            <w14:solidFill>
              <w14:schemeClr w14:val="tx1"/>
            </w14:solidFill>
          </w14:textFill>
        </w:rPr>
        <w:t>项目绩效自评情况根据年初设定的绩效目标,项目绩效自评得分为</w:t>
      </w:r>
      <w:r>
        <w:rPr>
          <w:rFonts w:hint="eastAsia" w:ascii="宋体" w:hAnsi="宋体"/>
          <w:color w:val="000000" w:themeColor="text1"/>
          <w:kern w:val="0"/>
          <w:sz w:val="24"/>
          <w:szCs w:val="24"/>
          <w:lang w:val="en-US" w:eastAsia="zh-CN"/>
          <w14:textFill>
            <w14:solidFill>
              <w14:schemeClr w14:val="tx1"/>
            </w14:solidFill>
          </w14:textFill>
        </w:rPr>
        <w:t>100</w:t>
      </w:r>
      <w:r>
        <w:rPr>
          <w:rFonts w:hint="eastAsia" w:ascii="宋体" w:hAnsi="宋体"/>
          <w:color w:val="000000" w:themeColor="text1"/>
          <w:kern w:val="0"/>
          <w:sz w:val="24"/>
          <w:szCs w:val="24"/>
          <w:lang w:val="en-US"/>
          <w14:textFill>
            <w14:solidFill>
              <w14:schemeClr w14:val="tx1"/>
            </w14:solidFill>
          </w14:textFill>
        </w:rPr>
        <w:t>分。项目全年预算数为</w:t>
      </w:r>
      <w:r>
        <w:rPr>
          <w:rFonts w:hint="eastAsia" w:ascii="宋体" w:hAnsi="宋体"/>
          <w:color w:val="000000" w:themeColor="text1"/>
          <w:kern w:val="0"/>
          <w:sz w:val="24"/>
          <w:szCs w:val="24"/>
          <w:lang w:val="en-US" w:eastAsia="zh-CN"/>
          <w14:textFill>
            <w14:solidFill>
              <w14:schemeClr w14:val="tx1"/>
            </w14:solidFill>
          </w14:textFill>
        </w:rPr>
        <w:t>1.25万</w:t>
      </w:r>
      <w:r>
        <w:rPr>
          <w:rFonts w:hint="eastAsia" w:ascii="宋体" w:hAnsi="宋体"/>
          <w:color w:val="000000" w:themeColor="text1"/>
          <w:kern w:val="0"/>
          <w:sz w:val="24"/>
          <w:szCs w:val="24"/>
          <w:lang w:val="en-US"/>
          <w14:textFill>
            <w14:solidFill>
              <w14:schemeClr w14:val="tx1"/>
            </w14:solidFill>
          </w14:textFill>
        </w:rPr>
        <w:t>元,执行数为</w:t>
      </w:r>
      <w:r>
        <w:rPr>
          <w:rFonts w:hint="eastAsia" w:ascii="宋体" w:hAnsi="宋体"/>
          <w:color w:val="000000" w:themeColor="text1"/>
          <w:kern w:val="0"/>
          <w:sz w:val="24"/>
          <w:szCs w:val="24"/>
          <w:lang w:val="en-US" w:eastAsia="zh-CN"/>
          <w14:textFill>
            <w14:solidFill>
              <w14:schemeClr w14:val="tx1"/>
            </w14:solidFill>
          </w14:textFill>
        </w:rPr>
        <w:t>1.25万</w:t>
      </w:r>
      <w:r>
        <w:rPr>
          <w:rFonts w:hint="eastAsia" w:ascii="宋体" w:hAnsi="宋体"/>
          <w:color w:val="000000" w:themeColor="text1"/>
          <w:kern w:val="0"/>
          <w:sz w:val="24"/>
          <w:szCs w:val="24"/>
          <w:lang w:val="en-US"/>
          <w14:textFill>
            <w14:solidFill>
              <w14:schemeClr w14:val="tx1"/>
            </w14:solidFill>
          </w14:textFill>
        </w:rPr>
        <w:t>元,完成预算的</w:t>
      </w:r>
      <w:r>
        <w:rPr>
          <w:rFonts w:hint="eastAsia" w:ascii="宋体" w:hAnsi="宋体"/>
          <w:color w:val="000000" w:themeColor="text1"/>
          <w:kern w:val="0"/>
          <w:sz w:val="24"/>
          <w:szCs w:val="24"/>
          <w:lang w:val="en-US" w:eastAsia="zh-CN"/>
          <w14:textFill>
            <w14:solidFill>
              <w14:schemeClr w14:val="tx1"/>
            </w14:solidFill>
          </w14:textFill>
        </w:rPr>
        <w:t>100</w:t>
      </w:r>
      <w:r>
        <w:rPr>
          <w:rFonts w:hint="eastAsia" w:ascii="宋体" w:hAnsi="宋体"/>
          <w:color w:val="000000" w:themeColor="text1"/>
          <w:kern w:val="0"/>
          <w:sz w:val="24"/>
          <w:szCs w:val="24"/>
          <w:lang w:val="en-US"/>
          <w14:textFill>
            <w14:solidFill>
              <w14:schemeClr w14:val="tx1"/>
            </w14:solidFill>
          </w14:textFill>
        </w:rPr>
        <w:t>%。项目绩效目标完成情况：一是</w:t>
      </w:r>
      <w:r>
        <w:rPr>
          <w:rFonts w:hint="eastAsia" w:ascii="宋体" w:hAnsi="宋体"/>
          <w:color w:val="000000" w:themeColor="text1"/>
          <w:kern w:val="0"/>
          <w:sz w:val="24"/>
          <w:szCs w:val="24"/>
          <w:lang w:val="en-US" w:eastAsia="zh-CN"/>
          <w14:textFill>
            <w14:solidFill>
              <w14:schemeClr w14:val="tx1"/>
            </w14:solidFill>
          </w14:textFill>
        </w:rPr>
        <w:t>资金拨付和使用按照计划完成</w:t>
      </w:r>
      <w:r>
        <w:rPr>
          <w:rFonts w:hint="eastAsia" w:ascii="宋体" w:hAnsi="宋体"/>
          <w:color w:val="000000" w:themeColor="text1"/>
          <w:kern w:val="0"/>
          <w:sz w:val="24"/>
          <w:szCs w:val="24"/>
          <w:lang w:val="en-US"/>
          <w14:textFill>
            <w14:solidFill>
              <w14:schemeClr w14:val="tx1"/>
            </w14:solidFill>
          </w14:textFill>
        </w:rPr>
        <w:t>；二是</w:t>
      </w:r>
      <w:r>
        <w:rPr>
          <w:rFonts w:hint="eastAsia" w:ascii="宋体" w:hAnsi="宋体"/>
          <w:color w:val="000000" w:themeColor="text1"/>
          <w:kern w:val="0"/>
          <w:sz w:val="24"/>
          <w:szCs w:val="24"/>
          <w:lang w:val="en-US" w:eastAsia="zh-CN"/>
          <w14:textFill>
            <w14:solidFill>
              <w14:schemeClr w14:val="tx1"/>
            </w14:solidFill>
          </w14:textFill>
        </w:rPr>
        <w:t>保证专款专用</w:t>
      </w:r>
      <w:r>
        <w:rPr>
          <w:rFonts w:hint="eastAsia" w:ascii="宋体" w:hAnsi="宋体"/>
          <w:color w:val="000000" w:themeColor="text1"/>
          <w:kern w:val="0"/>
          <w:sz w:val="24"/>
          <w:szCs w:val="24"/>
          <w:lang w:val="en-US"/>
          <w14:textFill>
            <w14:solidFill>
              <w14:schemeClr w14:val="tx1"/>
            </w14:solidFill>
          </w14:textFill>
        </w:rPr>
        <w:t>。发现的主要问题及原因：</w:t>
      </w:r>
      <w:r>
        <w:rPr>
          <w:rFonts w:hint="eastAsia" w:ascii="宋体" w:hAnsi="宋体"/>
          <w:color w:val="000000" w:themeColor="text1"/>
          <w:kern w:val="0"/>
          <w:sz w:val="24"/>
          <w:szCs w:val="24"/>
          <w:lang w:val="en-US" w:eastAsia="zh-CN"/>
          <w14:textFill>
            <w14:solidFill>
              <w14:schemeClr w14:val="tx1"/>
            </w14:solidFill>
          </w14:textFill>
        </w:rPr>
        <w:t>台账管理欠规范</w:t>
      </w:r>
      <w:r>
        <w:rPr>
          <w:rFonts w:hint="eastAsia" w:ascii="宋体" w:hAnsi="宋体"/>
          <w:color w:val="000000" w:themeColor="text1"/>
          <w:kern w:val="0"/>
          <w:sz w:val="24"/>
          <w:szCs w:val="24"/>
          <w:lang w:val="en-US"/>
          <w14:textFill>
            <w14:solidFill>
              <w14:schemeClr w14:val="tx1"/>
            </w14:solidFill>
          </w14:textFill>
        </w:rPr>
        <w:t>。下一步改进措施：</w:t>
      </w:r>
      <w:r>
        <w:rPr>
          <w:rFonts w:hint="eastAsia" w:ascii="宋体" w:hAnsi="宋体"/>
          <w:color w:val="000000" w:themeColor="text1"/>
          <w:kern w:val="0"/>
          <w:sz w:val="24"/>
          <w:szCs w:val="24"/>
          <w:lang w:val="en-US" w:eastAsia="zh-CN"/>
          <w14:textFill>
            <w14:solidFill>
              <w14:schemeClr w14:val="tx1"/>
            </w14:solidFill>
          </w14:textFill>
        </w:rPr>
        <w:t>做好学生资助台账建设</w:t>
      </w:r>
      <w:r>
        <w:rPr>
          <w:rFonts w:hint="eastAsia" w:ascii="宋体" w:hAnsi="宋体"/>
          <w:color w:val="000000" w:themeColor="text1"/>
          <w:kern w:val="0"/>
          <w:sz w:val="24"/>
          <w:szCs w:val="24"/>
          <w:lang w:val="en-US"/>
          <w14:textFill>
            <w14:solidFill>
              <w14:schemeClr w14:val="tx1"/>
            </w14:solidFill>
          </w14:textFill>
        </w:rPr>
        <w:t>。</w:t>
      </w:r>
    </w:p>
    <w:p>
      <w:pPr>
        <w:pageBreakBefore w:val="0"/>
        <w:kinsoku/>
        <w:wordWrap/>
        <w:overflowPunct/>
        <w:topLinePunct w:val="0"/>
        <w:autoSpaceDE/>
        <w:autoSpaceDN/>
        <w:bidi w:val="0"/>
        <w:adjustRightInd/>
        <w:snapToGrid/>
        <w:spacing w:before="100" w:beforeLines="0" w:after="100" w:afterLines="0" w:line="240" w:lineRule="auto"/>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三、部门绩效评价结果</w:t>
      </w:r>
    </w:p>
    <w:p>
      <w:pPr>
        <w:keepNext w:val="0"/>
        <w:keepLines w:val="0"/>
        <w:pageBreakBefore w:val="0"/>
        <w:widowControl/>
        <w:kinsoku/>
        <w:wordWrap/>
        <w:overflowPunct/>
        <w:topLinePunct w:val="0"/>
        <w:autoSpaceDE/>
        <w:autoSpaceDN/>
        <w:bidi w:val="0"/>
        <w:adjustRightInd/>
        <w:snapToGrid/>
        <w:spacing w:before="100" w:beforeLines="0" w:after="100" w:afterLines="0" w:line="240" w:lineRule="auto"/>
        <w:ind w:firstLine="480" w:firstLineChars="200"/>
        <w:jc w:val="both"/>
        <w:textAlignment w:val="auto"/>
        <w:rPr>
          <w:rFonts w:hint="eastAsia" w:ascii="宋体" w:hAnsi="宋体"/>
          <w:color w:val="auto"/>
          <w:sz w:val="24"/>
          <w:szCs w:val="24"/>
          <w:lang w:val="zh-CN"/>
        </w:rPr>
      </w:pPr>
      <w:r>
        <w:rPr>
          <w:rFonts w:hint="eastAsia" w:ascii="宋体" w:hAnsi="宋体"/>
          <w:color w:val="auto"/>
          <w:sz w:val="24"/>
          <w:szCs w:val="24"/>
          <w:lang w:val="zh-CN"/>
        </w:rPr>
        <w:t>部门（单位）整体支出绩效自评表（见附件）</w:t>
      </w:r>
    </w:p>
    <w:p>
      <w:pPr>
        <w:keepNext w:val="0"/>
        <w:keepLines w:val="0"/>
        <w:pageBreakBefore w:val="0"/>
        <w:widowControl/>
        <w:kinsoku/>
        <w:wordWrap/>
        <w:overflowPunct/>
        <w:topLinePunct w:val="0"/>
        <w:autoSpaceDE/>
        <w:autoSpaceDN/>
        <w:bidi w:val="0"/>
        <w:adjustRightInd/>
        <w:snapToGrid/>
        <w:spacing w:before="100" w:beforeLines="0" w:after="100" w:afterLines="0" w:line="240" w:lineRule="auto"/>
        <w:ind w:firstLine="0" w:firstLineChars="0"/>
        <w:jc w:val="center"/>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第五部分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名词解释</w:t>
      </w:r>
    </w:p>
    <w:p>
      <w:pPr>
        <w:pageBreakBefore w:val="0"/>
        <w:kinsoku/>
        <w:wordWrap/>
        <w:overflowPunct/>
        <w:topLinePunct w:val="0"/>
        <w:autoSpaceDE/>
        <w:autoSpaceDN/>
        <w:bidi w:val="0"/>
        <w:adjustRightInd/>
        <w:snapToGrid/>
        <w:spacing w:before="100" w:beforeLines="0" w:after="100" w:afterLines="0" w:line="240" w:lineRule="auto"/>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一、财政拨款收入</w:t>
      </w:r>
      <w:r>
        <w:rPr>
          <w:rFonts w:hint="eastAsia" w:ascii="宋体" w:hAnsi="宋体" w:eastAsia="宋体" w:cs="宋体"/>
          <w:color w:val="auto"/>
          <w:sz w:val="24"/>
          <w:szCs w:val="24"/>
          <w:lang w:val="zh-CN"/>
        </w:rPr>
        <w:t>：指本年度从同级财政部门取得的财政拨款,包括一般公共预算财政拨款、政府性基金预算财政拨款和国有资本经营预算财政拨款。</w:t>
      </w:r>
    </w:p>
    <w:p>
      <w:pPr>
        <w:pageBreakBefore w:val="0"/>
        <w:kinsoku/>
        <w:wordWrap/>
        <w:overflowPunct/>
        <w:topLinePunct w:val="0"/>
        <w:autoSpaceDE/>
        <w:autoSpaceDN/>
        <w:bidi w:val="0"/>
        <w:adjustRightInd/>
        <w:snapToGrid/>
        <w:spacing w:before="100" w:beforeLines="0" w:after="100" w:afterLines="0" w:line="240" w:lineRule="auto"/>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二、事业收入</w:t>
      </w:r>
      <w:r>
        <w:rPr>
          <w:rFonts w:hint="eastAsia" w:ascii="宋体" w:hAnsi="宋体" w:eastAsia="宋体" w:cs="宋体"/>
          <w:color w:val="auto"/>
          <w:sz w:val="24"/>
          <w:szCs w:val="24"/>
          <w:lang w:val="zh-CN"/>
        </w:rPr>
        <w:t>：指事业单位开展专业业务活动及其辅助活动取得的收入。</w:t>
      </w:r>
    </w:p>
    <w:p>
      <w:pPr>
        <w:pageBreakBefore w:val="0"/>
        <w:kinsoku/>
        <w:wordWrap/>
        <w:overflowPunct/>
        <w:topLinePunct w:val="0"/>
        <w:autoSpaceDE/>
        <w:autoSpaceDN/>
        <w:bidi w:val="0"/>
        <w:adjustRightInd/>
        <w:snapToGrid/>
        <w:spacing w:before="100" w:beforeLines="0" w:after="100" w:afterLines="0" w:line="240" w:lineRule="auto"/>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三、经营收入</w:t>
      </w:r>
      <w:r>
        <w:rPr>
          <w:rFonts w:hint="eastAsia" w:ascii="宋体" w:hAnsi="宋体" w:eastAsia="宋体" w:cs="宋体"/>
          <w:color w:val="auto"/>
          <w:sz w:val="24"/>
          <w:szCs w:val="24"/>
          <w:lang w:val="zh-CN"/>
        </w:rPr>
        <w:t>：指事业单位在专业业务活动及其辅助活动之外开展非独立核算经营活动取得的收入。</w:t>
      </w:r>
    </w:p>
    <w:p>
      <w:pPr>
        <w:pageBreakBefore w:val="0"/>
        <w:kinsoku/>
        <w:wordWrap/>
        <w:overflowPunct/>
        <w:topLinePunct w:val="0"/>
        <w:autoSpaceDE/>
        <w:autoSpaceDN/>
        <w:bidi w:val="0"/>
        <w:adjustRightInd/>
        <w:snapToGrid/>
        <w:spacing w:before="100" w:beforeLines="0" w:after="100" w:afterLines="0" w:line="240" w:lineRule="auto"/>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四、其他收入</w:t>
      </w:r>
      <w:r>
        <w:rPr>
          <w:rFonts w:hint="eastAsia" w:ascii="宋体" w:hAnsi="宋体" w:eastAsia="宋体" w:cs="宋体"/>
          <w:color w:val="auto"/>
          <w:sz w:val="24"/>
          <w:szCs w:val="24"/>
          <w:lang w:val="zh-CN"/>
        </w:rPr>
        <w:t>：指除上述“财政拨款收入”“事业收入”、“经营收入”以外的收入。</w:t>
      </w:r>
    </w:p>
    <w:p>
      <w:pPr>
        <w:pageBreakBefore w:val="0"/>
        <w:kinsoku/>
        <w:wordWrap/>
        <w:overflowPunct/>
        <w:topLinePunct w:val="0"/>
        <w:autoSpaceDE/>
        <w:autoSpaceDN/>
        <w:bidi w:val="0"/>
        <w:adjustRightInd/>
        <w:snapToGrid/>
        <w:spacing w:before="100" w:beforeLines="0" w:after="100" w:afterLines="0" w:line="240" w:lineRule="auto"/>
        <w:ind w:firstLine="482" w:firstLineChars="200"/>
        <w:jc w:val="both"/>
        <w:textAlignment w:val="auto"/>
        <w:rPr>
          <w:rFonts w:hint="eastAsia" w:ascii="宋体" w:hAnsi="宋体" w:eastAsia="宋体" w:cs="宋体"/>
          <w:b w:val="0"/>
          <w:bCs w:val="0"/>
          <w:color w:val="auto"/>
          <w:sz w:val="24"/>
          <w:szCs w:val="24"/>
          <w:lang w:val="zh-CN"/>
        </w:rPr>
      </w:pPr>
      <w:r>
        <w:rPr>
          <w:rFonts w:hint="eastAsia" w:ascii="宋体" w:hAnsi="宋体" w:eastAsia="宋体" w:cs="宋体"/>
          <w:b/>
          <w:bCs/>
          <w:color w:val="auto"/>
          <w:sz w:val="24"/>
          <w:szCs w:val="24"/>
          <w:lang w:val="zh-CN"/>
        </w:rPr>
        <w:t>五、使用非财政拨款结余（含专用结余）：</w:t>
      </w:r>
      <w:r>
        <w:rPr>
          <w:rFonts w:hint="eastAsia" w:ascii="宋体" w:hAnsi="宋体" w:eastAsia="宋体" w:cs="宋体"/>
          <w:b w:val="0"/>
          <w:bCs w:val="0"/>
          <w:color w:val="auto"/>
          <w:sz w:val="24"/>
          <w:szCs w:val="24"/>
          <w:lang w:val="zh-CN"/>
        </w:rPr>
        <w:t>指事业单位按照预算管理要求使用非财政拨款结余弥补收支差额的金额，以及使用专用结余安排支出的金额。</w:t>
      </w:r>
    </w:p>
    <w:p>
      <w:pPr>
        <w:pageBreakBefore w:val="0"/>
        <w:kinsoku/>
        <w:wordWrap/>
        <w:overflowPunct/>
        <w:topLinePunct w:val="0"/>
        <w:autoSpaceDE/>
        <w:autoSpaceDN/>
        <w:bidi w:val="0"/>
        <w:adjustRightInd/>
        <w:snapToGrid/>
        <w:spacing w:before="100" w:beforeLines="0" w:after="100" w:afterLines="0" w:line="240" w:lineRule="auto"/>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六、年初结转和结余</w:t>
      </w:r>
      <w:r>
        <w:rPr>
          <w:rFonts w:hint="eastAsia" w:ascii="宋体" w:hAnsi="宋体" w:eastAsia="宋体" w:cs="宋体"/>
          <w:color w:val="auto"/>
          <w:sz w:val="24"/>
          <w:szCs w:val="24"/>
          <w:lang w:val="zh-CN"/>
        </w:rPr>
        <w:t>：指单位上年结转至本年使用的基本支出结转、项目支出结转和结余、经营结余。</w:t>
      </w:r>
    </w:p>
    <w:p>
      <w:pPr>
        <w:pageBreakBefore w:val="0"/>
        <w:kinsoku/>
        <w:wordWrap/>
        <w:overflowPunct/>
        <w:topLinePunct w:val="0"/>
        <w:autoSpaceDE/>
        <w:autoSpaceDN/>
        <w:bidi w:val="0"/>
        <w:adjustRightInd/>
        <w:snapToGrid/>
        <w:spacing w:before="100" w:beforeLines="0" w:after="100" w:afterLines="0" w:line="240" w:lineRule="auto"/>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七、结余分配</w:t>
      </w:r>
      <w:r>
        <w:rPr>
          <w:rFonts w:hint="eastAsia" w:ascii="宋体" w:hAnsi="宋体" w:eastAsia="宋体" w:cs="宋体"/>
          <w:color w:val="auto"/>
          <w:sz w:val="24"/>
          <w:szCs w:val="24"/>
          <w:lang w:val="zh-CN"/>
        </w:rPr>
        <w:t>：指单位按照会计制度规定缴纳的所得税、提取的专用结余以及转入非财政拨款结余的金额等。</w:t>
      </w:r>
    </w:p>
    <w:p>
      <w:pPr>
        <w:pageBreakBefore w:val="0"/>
        <w:kinsoku/>
        <w:wordWrap/>
        <w:overflowPunct/>
        <w:topLinePunct w:val="0"/>
        <w:autoSpaceDE/>
        <w:autoSpaceDN/>
        <w:bidi w:val="0"/>
        <w:adjustRightInd/>
        <w:snapToGrid/>
        <w:spacing w:before="100" w:beforeLines="0" w:after="100" w:afterLines="0" w:line="240" w:lineRule="auto"/>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八、年末结转和结余</w:t>
      </w:r>
      <w:r>
        <w:rPr>
          <w:rFonts w:hint="eastAsia" w:ascii="宋体" w:hAnsi="宋体" w:eastAsia="宋体" w:cs="宋体"/>
          <w:color w:val="auto"/>
          <w:sz w:val="24"/>
          <w:szCs w:val="24"/>
          <w:lang w:val="zh-CN"/>
        </w:rPr>
        <w:t>：指单位按有关规定结转到下年的基本支出结转、项目支出结转和结余、经营结余。</w:t>
      </w:r>
    </w:p>
    <w:p>
      <w:pPr>
        <w:pageBreakBefore w:val="0"/>
        <w:kinsoku/>
        <w:wordWrap/>
        <w:overflowPunct/>
        <w:topLinePunct w:val="0"/>
        <w:autoSpaceDE/>
        <w:autoSpaceDN/>
        <w:bidi w:val="0"/>
        <w:adjustRightInd/>
        <w:snapToGrid/>
        <w:spacing w:before="100" w:beforeLines="0" w:after="100" w:afterLines="0" w:line="240" w:lineRule="auto"/>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九、基本支出</w:t>
      </w:r>
      <w:r>
        <w:rPr>
          <w:rFonts w:hint="eastAsia" w:ascii="宋体" w:hAnsi="宋体" w:eastAsia="宋体" w:cs="宋体"/>
          <w:color w:val="auto"/>
          <w:sz w:val="24"/>
          <w:szCs w:val="24"/>
          <w:lang w:val="zh-CN"/>
        </w:rPr>
        <w:t>：指为保障机构正常运转、完成日常工作任务而发生的人员经费和公用经费。</w:t>
      </w:r>
    </w:p>
    <w:p>
      <w:pPr>
        <w:pageBreakBefore w:val="0"/>
        <w:kinsoku/>
        <w:wordWrap/>
        <w:overflowPunct/>
        <w:topLinePunct w:val="0"/>
        <w:autoSpaceDE/>
        <w:autoSpaceDN/>
        <w:bidi w:val="0"/>
        <w:adjustRightInd/>
        <w:snapToGrid/>
        <w:spacing w:before="100" w:beforeLines="0" w:after="100" w:afterLines="0" w:line="240" w:lineRule="auto"/>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十、项目支出</w:t>
      </w:r>
      <w:r>
        <w:rPr>
          <w:rFonts w:hint="eastAsia" w:ascii="宋体" w:hAnsi="宋体" w:eastAsia="宋体" w:cs="宋体"/>
          <w:color w:val="auto"/>
          <w:sz w:val="24"/>
          <w:szCs w:val="24"/>
          <w:lang w:val="zh-CN"/>
        </w:rPr>
        <w:t>：指在基本支出之外为完成特定行政任务或事业发展目标所发生的支出。</w:t>
      </w:r>
    </w:p>
    <w:p>
      <w:pPr>
        <w:pageBreakBefore w:val="0"/>
        <w:kinsoku/>
        <w:wordWrap/>
        <w:overflowPunct/>
        <w:topLinePunct w:val="0"/>
        <w:autoSpaceDE/>
        <w:autoSpaceDN/>
        <w:bidi w:val="0"/>
        <w:adjustRightInd/>
        <w:snapToGrid/>
        <w:spacing w:before="100" w:beforeLines="0" w:after="100" w:afterLines="0" w:line="240" w:lineRule="auto"/>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十一、经营支出</w:t>
      </w:r>
      <w:r>
        <w:rPr>
          <w:rFonts w:hint="eastAsia" w:ascii="宋体" w:hAnsi="宋体" w:eastAsia="宋体" w:cs="宋体"/>
          <w:color w:val="auto"/>
          <w:sz w:val="24"/>
          <w:szCs w:val="24"/>
          <w:lang w:val="zh-CN"/>
        </w:rPr>
        <w:t>：指事业单位在专业业务活动及其辅助活动之外开展非独立核算经营活动发生的支出。</w:t>
      </w:r>
    </w:p>
    <w:p>
      <w:pPr>
        <w:pageBreakBefore w:val="0"/>
        <w:kinsoku/>
        <w:wordWrap/>
        <w:overflowPunct/>
        <w:topLinePunct w:val="0"/>
        <w:autoSpaceDE/>
        <w:autoSpaceDN/>
        <w:bidi w:val="0"/>
        <w:adjustRightInd/>
        <w:snapToGrid/>
        <w:spacing w:before="100" w:beforeLines="0" w:after="100" w:afterLines="0" w:line="240" w:lineRule="auto"/>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十二、“三公”经费</w:t>
      </w:r>
      <w:r>
        <w:rPr>
          <w:rFonts w:hint="eastAsia" w:ascii="宋体" w:hAnsi="宋体" w:eastAsia="宋体" w:cs="宋体"/>
          <w:color w:val="auto"/>
          <w:sz w:val="24"/>
          <w:szCs w:val="24"/>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pageBreakBefore w:val="0"/>
        <w:kinsoku/>
        <w:wordWrap/>
        <w:overflowPunct/>
        <w:topLinePunct w:val="0"/>
        <w:autoSpaceDE/>
        <w:autoSpaceDN/>
        <w:bidi w:val="0"/>
        <w:adjustRightInd/>
        <w:snapToGrid/>
        <w:spacing w:before="100" w:beforeLines="0" w:after="100" w:afterLines="0" w:line="240" w:lineRule="auto"/>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十三、机关运行经费</w:t>
      </w:r>
      <w:r>
        <w:rPr>
          <w:rFonts w:hint="eastAsia" w:ascii="宋体" w:hAnsi="宋体" w:eastAsia="宋体" w:cs="宋体"/>
          <w:color w:val="auto"/>
          <w:sz w:val="24"/>
          <w:szCs w:val="24"/>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pageBreakBefore w:val="0"/>
        <w:kinsoku/>
        <w:wordWrap/>
        <w:overflowPunct/>
        <w:topLinePunct w:val="0"/>
        <w:autoSpaceDE/>
        <w:autoSpaceDN/>
        <w:bidi w:val="0"/>
        <w:adjustRightInd/>
        <w:snapToGrid/>
        <w:spacing w:before="100" w:beforeLines="0" w:after="100" w:afterLines="0" w:line="240" w:lineRule="auto"/>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十四、社会保障和就业支出（类）行政事业单位养老支出（款）机关事业单位基本养老保险缴费支出（项）：</w:t>
      </w:r>
      <w:r>
        <w:rPr>
          <w:rFonts w:hint="eastAsia" w:ascii="宋体" w:hAnsi="宋体" w:eastAsia="宋体" w:cs="宋体"/>
          <w:color w:val="auto"/>
          <w:sz w:val="24"/>
          <w:szCs w:val="24"/>
          <w:lang w:val="zh-CN"/>
        </w:rPr>
        <w:t>反映机关事业单位实施养老保险制度由单位缴纳的基本养老保险支出。</w:t>
      </w:r>
    </w:p>
    <w:p>
      <w:pPr>
        <w:pageBreakBefore w:val="0"/>
        <w:kinsoku/>
        <w:wordWrap/>
        <w:overflowPunct/>
        <w:topLinePunct w:val="0"/>
        <w:autoSpaceDE/>
        <w:autoSpaceDN/>
        <w:bidi w:val="0"/>
        <w:adjustRightInd/>
        <w:snapToGrid/>
        <w:spacing w:before="100" w:beforeLines="0" w:after="100" w:afterLines="0" w:line="240" w:lineRule="auto"/>
        <w:jc w:val="left"/>
        <w:textAlignment w:val="auto"/>
        <w:rPr>
          <w:rFonts w:hint="eastAsia" w:ascii="宋体" w:hAnsi="宋体"/>
          <w:color w:val="auto"/>
          <w:sz w:val="24"/>
          <w:szCs w:val="24"/>
          <w:lang w:val="zh-CN"/>
        </w:rPr>
      </w:pPr>
    </w:p>
    <w:p>
      <w:pPr>
        <w:pageBreakBefore w:val="0"/>
        <w:kinsoku/>
        <w:wordWrap/>
        <w:overflowPunct/>
        <w:topLinePunct w:val="0"/>
        <w:autoSpaceDE/>
        <w:autoSpaceDN/>
        <w:bidi w:val="0"/>
        <w:adjustRightInd/>
        <w:snapToGrid/>
        <w:spacing w:before="100" w:beforeLines="0" w:after="100" w:afterLines="0" w:line="240" w:lineRule="auto"/>
        <w:jc w:val="left"/>
        <w:textAlignment w:val="auto"/>
        <w:rPr>
          <w:rFonts w:hint="eastAsia" w:ascii="宋体" w:hAnsi="宋体"/>
          <w:color w:val="auto"/>
          <w:sz w:val="24"/>
          <w:szCs w:val="24"/>
          <w:lang w:val="zh-CN"/>
        </w:rPr>
      </w:pPr>
    </w:p>
    <w:p>
      <w:pPr>
        <w:pageBreakBefore w:val="0"/>
        <w:kinsoku/>
        <w:wordWrap/>
        <w:overflowPunct/>
        <w:topLinePunct w:val="0"/>
        <w:autoSpaceDE/>
        <w:autoSpaceDN/>
        <w:bidi w:val="0"/>
        <w:adjustRightInd/>
        <w:snapToGrid/>
        <w:spacing w:before="100" w:beforeLines="0" w:after="100" w:afterLines="0" w:line="240" w:lineRule="auto"/>
        <w:jc w:val="left"/>
        <w:textAlignment w:val="auto"/>
        <w:rPr>
          <w:rFonts w:hint="eastAsia" w:ascii="宋体" w:hAnsi="宋体"/>
          <w:color w:val="auto"/>
          <w:sz w:val="24"/>
          <w:szCs w:val="24"/>
          <w:lang w:val="zh-CN"/>
        </w:rPr>
      </w:pPr>
    </w:p>
    <w:p>
      <w:pPr>
        <w:pageBreakBefore w:val="0"/>
        <w:kinsoku/>
        <w:wordWrap/>
        <w:overflowPunct/>
        <w:topLinePunct w:val="0"/>
        <w:autoSpaceDE/>
        <w:autoSpaceDN/>
        <w:bidi w:val="0"/>
        <w:adjustRightInd/>
        <w:snapToGrid/>
        <w:spacing w:before="100" w:beforeLines="0" w:after="100" w:afterLines="0" w:line="240" w:lineRule="auto"/>
        <w:jc w:val="left"/>
        <w:textAlignment w:val="auto"/>
        <w:rPr>
          <w:rFonts w:hint="eastAsia" w:ascii="宋体" w:hAnsi="宋体"/>
          <w:color w:val="auto"/>
          <w:sz w:val="24"/>
          <w:szCs w:val="24"/>
          <w:lang w:val="zh-CN"/>
        </w:rPr>
      </w:pPr>
    </w:p>
    <w:p>
      <w:pPr>
        <w:pageBreakBefore w:val="0"/>
        <w:kinsoku/>
        <w:wordWrap/>
        <w:overflowPunct/>
        <w:topLinePunct w:val="0"/>
        <w:autoSpaceDE/>
        <w:autoSpaceDN/>
        <w:bidi w:val="0"/>
        <w:adjustRightInd/>
        <w:snapToGrid/>
        <w:spacing w:before="100" w:beforeLines="0" w:after="100" w:afterLines="0" w:line="240" w:lineRule="auto"/>
        <w:jc w:val="left"/>
        <w:textAlignment w:val="auto"/>
        <w:rPr>
          <w:rFonts w:hint="eastAsia" w:ascii="宋体" w:hAnsi="宋体"/>
          <w:color w:val="auto"/>
          <w:sz w:val="24"/>
          <w:szCs w:val="24"/>
          <w:lang w:val="zh-CN"/>
        </w:rPr>
      </w:pPr>
    </w:p>
    <w:p>
      <w:pPr>
        <w:pageBreakBefore w:val="0"/>
        <w:kinsoku/>
        <w:wordWrap/>
        <w:overflowPunct/>
        <w:topLinePunct w:val="0"/>
        <w:autoSpaceDE/>
        <w:autoSpaceDN/>
        <w:bidi w:val="0"/>
        <w:adjustRightInd/>
        <w:snapToGrid/>
        <w:spacing w:before="100" w:beforeLines="0" w:after="100" w:afterLines="0" w:line="240" w:lineRule="auto"/>
        <w:jc w:val="left"/>
        <w:textAlignment w:val="auto"/>
        <w:rPr>
          <w:rFonts w:hint="eastAsia" w:ascii="宋体" w:hAnsi="宋体"/>
          <w:color w:val="auto"/>
          <w:sz w:val="24"/>
          <w:szCs w:val="24"/>
          <w:lang w:val="zh-CN"/>
        </w:rPr>
      </w:pPr>
    </w:p>
    <w:p>
      <w:pPr>
        <w:pageBreakBefore w:val="0"/>
        <w:kinsoku/>
        <w:wordWrap/>
        <w:overflowPunct/>
        <w:topLinePunct w:val="0"/>
        <w:autoSpaceDE/>
        <w:autoSpaceDN/>
        <w:bidi w:val="0"/>
        <w:adjustRightInd/>
        <w:snapToGrid/>
        <w:spacing w:before="100" w:beforeLines="0" w:after="100" w:afterLines="0" w:line="240" w:lineRule="auto"/>
        <w:jc w:val="left"/>
        <w:textAlignment w:val="auto"/>
        <w:rPr>
          <w:rFonts w:hint="eastAsia" w:ascii="宋体" w:hAnsi="宋体"/>
          <w:color w:val="auto"/>
          <w:sz w:val="24"/>
          <w:szCs w:val="24"/>
          <w:lang w:val="zh-CN"/>
        </w:rPr>
      </w:pPr>
    </w:p>
    <w:p>
      <w:pPr>
        <w:pageBreakBefore w:val="0"/>
        <w:kinsoku/>
        <w:wordWrap/>
        <w:overflowPunct/>
        <w:topLinePunct w:val="0"/>
        <w:autoSpaceDE/>
        <w:autoSpaceDN/>
        <w:bidi w:val="0"/>
        <w:adjustRightInd/>
        <w:snapToGrid/>
        <w:spacing w:before="100" w:beforeLines="0" w:after="100" w:afterLines="0" w:line="240" w:lineRule="auto"/>
        <w:jc w:val="left"/>
        <w:textAlignment w:val="auto"/>
        <w:rPr>
          <w:rFonts w:hint="eastAsia" w:ascii="宋体" w:hAnsi="宋体"/>
          <w:color w:val="auto"/>
          <w:sz w:val="24"/>
          <w:szCs w:val="24"/>
          <w:lang w:val="zh-CN"/>
        </w:rPr>
      </w:pPr>
      <w:bookmarkStart w:id="0" w:name="_GoBack"/>
      <w:bookmarkEnd w:id="0"/>
    </w:p>
    <w:p>
      <w:pPr>
        <w:pageBreakBefore w:val="0"/>
        <w:kinsoku/>
        <w:wordWrap/>
        <w:overflowPunct/>
        <w:topLinePunct w:val="0"/>
        <w:autoSpaceDE/>
        <w:autoSpaceDN/>
        <w:bidi w:val="0"/>
        <w:adjustRightInd/>
        <w:snapToGrid/>
        <w:spacing w:before="100" w:beforeLines="0" w:after="100" w:afterLines="0" w:line="240" w:lineRule="auto"/>
        <w:jc w:val="left"/>
        <w:textAlignment w:val="auto"/>
        <w:rPr>
          <w:rFonts w:hint="eastAsia" w:ascii="宋体" w:hAnsi="宋体"/>
          <w:color w:val="auto"/>
          <w:sz w:val="24"/>
          <w:szCs w:val="24"/>
          <w:lang w:val="zh-CN"/>
        </w:rPr>
      </w:pPr>
    </w:p>
    <w:p>
      <w:pPr>
        <w:pageBreakBefore w:val="0"/>
        <w:kinsoku/>
        <w:wordWrap/>
        <w:overflowPunct/>
        <w:topLinePunct w:val="0"/>
        <w:autoSpaceDE/>
        <w:autoSpaceDN/>
        <w:bidi w:val="0"/>
        <w:adjustRightInd/>
        <w:snapToGrid/>
        <w:spacing w:before="100" w:beforeLines="0" w:after="100" w:afterLines="0" w:line="240" w:lineRule="auto"/>
        <w:jc w:val="left"/>
        <w:textAlignment w:val="auto"/>
        <w:rPr>
          <w:rFonts w:hint="eastAsia" w:ascii="宋体" w:hAnsi="宋体"/>
          <w:color w:val="auto"/>
          <w:sz w:val="24"/>
          <w:szCs w:val="24"/>
          <w:lang w:val="zh-CN"/>
        </w:rPr>
      </w:pPr>
      <w:r>
        <w:rPr>
          <w:rFonts w:hint="eastAsia" w:ascii="宋体" w:hAnsi="宋体"/>
          <w:color w:val="auto"/>
          <w:sz w:val="24"/>
          <w:szCs w:val="24"/>
          <w:lang w:val="zh-CN"/>
        </w:rPr>
        <w:t>附件；</w:t>
      </w:r>
    </w:p>
    <w:p>
      <w:pPr>
        <w:keepNext w:val="0"/>
        <w:keepLines w:val="0"/>
        <w:pageBreakBefore w:val="0"/>
        <w:widowControl/>
        <w:numPr>
          <w:ilvl w:val="0"/>
          <w:numId w:val="0"/>
        </w:numPr>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eastAsia" w:ascii="宋体" w:hAnsi="宋体"/>
          <w:color w:val="auto"/>
          <w:sz w:val="24"/>
          <w:szCs w:val="24"/>
          <w:lang w:val="en-US" w:eastAsia="zh-CN"/>
        </w:rPr>
      </w:pPr>
      <w:r>
        <w:rPr>
          <w:rFonts w:hint="eastAsia" w:ascii="宋体" w:hAnsi="宋体" w:eastAsia="宋体" w:cstheme="minorBidi"/>
          <w:color w:val="auto"/>
          <w:kern w:val="2"/>
          <w:sz w:val="24"/>
          <w:szCs w:val="24"/>
          <w:lang w:val="en-US" w:eastAsia="zh-CN"/>
        </w:rPr>
        <w:t>1.</w:t>
      </w:r>
      <w:r>
        <w:rPr>
          <w:rFonts w:hint="eastAsia" w:ascii="宋体" w:hAnsi="宋体"/>
          <w:color w:val="auto"/>
          <w:sz w:val="24"/>
          <w:szCs w:val="24"/>
          <w:lang w:val="en-US" w:eastAsia="zh-CN"/>
        </w:rPr>
        <w:t>华池县乔河小学决算公开表</w:t>
      </w:r>
    </w:p>
    <w:p>
      <w:pPr>
        <w:keepNext w:val="0"/>
        <w:keepLines w:val="0"/>
        <w:pageBreakBefore w:val="0"/>
        <w:widowControl/>
        <w:numPr>
          <w:ilvl w:val="0"/>
          <w:numId w:val="0"/>
        </w:numPr>
        <w:kinsoku/>
        <w:wordWrap/>
        <w:overflowPunct/>
        <w:topLinePunct w:val="0"/>
        <w:autoSpaceDE/>
        <w:autoSpaceDN/>
        <w:bidi w:val="0"/>
        <w:adjustRightInd/>
        <w:snapToGrid/>
        <w:spacing w:before="100" w:beforeLines="0" w:after="100" w:afterLines="0" w:line="240" w:lineRule="auto"/>
        <w:ind w:firstLine="480" w:firstLineChars="200"/>
        <w:jc w:val="left"/>
        <w:textAlignment w:val="auto"/>
        <w:rPr>
          <w:rFonts w:hint="default" w:ascii="宋体" w:hAnsi="宋体"/>
          <w:color w:val="auto"/>
          <w:sz w:val="24"/>
          <w:szCs w:val="24"/>
          <w:lang w:val="en-US" w:eastAsia="zh-CN"/>
        </w:rPr>
      </w:pPr>
      <w:r>
        <w:rPr>
          <w:rFonts w:hint="default" w:ascii="宋体" w:hAnsi="宋体" w:eastAsia="宋体" w:cstheme="minorBidi"/>
          <w:color w:val="auto"/>
          <w:kern w:val="2"/>
          <w:sz w:val="24"/>
          <w:szCs w:val="24"/>
          <w:lang w:val="en-US" w:eastAsia="zh-CN"/>
        </w:rPr>
        <w:t>2.</w:t>
      </w:r>
      <w:r>
        <w:rPr>
          <w:rFonts w:hint="default" w:ascii="宋体" w:hAnsi="宋体"/>
          <w:color w:val="auto"/>
          <w:sz w:val="24"/>
          <w:szCs w:val="24"/>
          <w:lang w:val="en-US" w:eastAsia="zh-CN"/>
        </w:rPr>
        <w:t>华池县</w:t>
      </w:r>
      <w:r>
        <w:rPr>
          <w:rFonts w:hint="eastAsia" w:ascii="宋体" w:hAnsi="宋体"/>
          <w:color w:val="auto"/>
          <w:sz w:val="24"/>
          <w:szCs w:val="24"/>
          <w:lang w:val="en-US" w:eastAsia="zh-CN"/>
        </w:rPr>
        <w:t>乔河小</w:t>
      </w:r>
      <w:r>
        <w:rPr>
          <w:rFonts w:hint="default" w:ascii="宋体" w:hAnsi="宋体"/>
          <w:color w:val="auto"/>
          <w:sz w:val="24"/>
          <w:szCs w:val="24"/>
          <w:lang w:val="en-US" w:eastAsia="zh-CN"/>
        </w:rPr>
        <w:t>学202</w:t>
      </w:r>
      <w:r>
        <w:rPr>
          <w:rFonts w:hint="eastAsia" w:ascii="宋体" w:hAnsi="宋体"/>
          <w:color w:val="auto"/>
          <w:sz w:val="24"/>
          <w:szCs w:val="24"/>
          <w:lang w:val="en-US" w:eastAsia="zh-CN"/>
        </w:rPr>
        <w:t>3</w:t>
      </w:r>
      <w:r>
        <w:rPr>
          <w:rFonts w:hint="default" w:ascii="宋体" w:hAnsi="宋体"/>
          <w:color w:val="auto"/>
          <w:sz w:val="24"/>
          <w:szCs w:val="24"/>
          <w:lang w:val="en-US" w:eastAsia="zh-CN"/>
        </w:rPr>
        <w:t>年部门（单位）整体支出绩效自评表、项目</w:t>
      </w:r>
      <w:r>
        <w:rPr>
          <w:rFonts w:hint="eastAsia" w:ascii="宋体" w:hAnsi="宋体"/>
          <w:color w:val="auto"/>
          <w:sz w:val="24"/>
          <w:szCs w:val="24"/>
          <w:lang w:val="en-US" w:eastAsia="zh-CN"/>
        </w:rPr>
        <w:t>支出</w:t>
      </w:r>
      <w:r>
        <w:rPr>
          <w:rFonts w:hint="default" w:ascii="宋体" w:hAnsi="宋体"/>
          <w:color w:val="auto"/>
          <w:sz w:val="24"/>
          <w:szCs w:val="24"/>
          <w:lang w:val="en-US" w:eastAsia="zh-CN"/>
        </w:rPr>
        <w:t>绩效</w:t>
      </w:r>
      <w:r>
        <w:rPr>
          <w:rFonts w:hint="eastAsia" w:ascii="宋体" w:hAnsi="宋体"/>
          <w:color w:val="auto"/>
          <w:sz w:val="24"/>
          <w:szCs w:val="24"/>
          <w:lang w:val="en-US" w:eastAsia="zh-CN"/>
        </w:rPr>
        <w:t>自评表</w:t>
      </w:r>
    </w:p>
    <w:p>
      <w:pPr>
        <w:pageBreakBefore w:val="0"/>
        <w:kinsoku/>
        <w:wordWrap/>
        <w:overflowPunct/>
        <w:topLinePunct w:val="0"/>
        <w:autoSpaceDE/>
        <w:autoSpaceDN/>
        <w:bidi w:val="0"/>
        <w:adjustRightInd/>
        <w:snapToGrid/>
        <w:spacing w:before="100" w:beforeLines="0" w:after="100" w:afterLines="0" w:line="240" w:lineRule="auto"/>
        <w:ind w:firstLine="480" w:firstLineChars="200"/>
        <w:jc w:val="both"/>
        <w:textAlignment w:val="auto"/>
        <w:rPr>
          <w:rFonts w:hint="eastAsia" w:ascii="宋体" w:hAnsi="宋体" w:eastAsia="宋体" w:cs="宋体"/>
          <w:color w:val="FF0000"/>
          <w:sz w:val="24"/>
          <w:szCs w:val="24"/>
          <w:lang w:val="zh-CN"/>
        </w:rPr>
      </w:pPr>
    </w:p>
    <w:p>
      <w:pPr>
        <w:pageBreakBefore w:val="0"/>
        <w:kinsoku/>
        <w:wordWrap/>
        <w:overflowPunct/>
        <w:topLinePunct w:val="0"/>
        <w:autoSpaceDE/>
        <w:autoSpaceDN/>
        <w:bidi w:val="0"/>
        <w:adjustRightInd/>
        <w:snapToGrid/>
        <w:spacing w:before="100" w:beforeLines="0" w:after="100" w:afterLines="0" w:line="240" w:lineRule="auto"/>
        <w:ind w:firstLine="640" w:firstLineChars="200"/>
        <w:jc w:val="both"/>
        <w:textAlignment w:val="auto"/>
        <w:rPr>
          <w:rFonts w:hint="eastAsia" w:ascii="仿宋_GB2312" w:hAnsi="仿宋_GB2312" w:eastAsia="仿宋_GB2312" w:cs="仿宋_GB2312"/>
          <w:color w:val="auto"/>
          <w:sz w:val="32"/>
          <w:szCs w:val="32"/>
          <w:lang w:val="zh-CN"/>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roman"/>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2"/>
      <w:numFmt w:val="chineseCounting"/>
      <w:lvlText w:val="(%1)"/>
      <w:lvlJc w:val="left"/>
      <w:pPr>
        <w:tabs>
          <w:tab w:val="left" w:pos="312"/>
        </w:tabs>
      </w:pPr>
      <w:rPr>
        <w:rFonts w:hint="eastAsia"/>
      </w:rPr>
    </w:lvl>
  </w:abstractNum>
  <w:abstractNum w:abstractNumId="1">
    <w:nsid w:val="FAC48715"/>
    <w:multiLevelType w:val="singleLevel"/>
    <w:tmpl w:val="FAC48715"/>
    <w:lvl w:ilvl="0" w:tentative="0">
      <w:start w:val="2"/>
      <w:numFmt w:val="chineseCounting"/>
      <w:suff w:val="nothing"/>
      <w:lvlText w:val="%1、"/>
      <w:lvlJc w:val="left"/>
      <w:rPr>
        <w:rFonts w:hint="eastAsia"/>
      </w:rPr>
    </w:lvl>
  </w:abstractNum>
  <w:abstractNum w:abstractNumId="2">
    <w:nsid w:val="0053208E"/>
    <w:multiLevelType w:val="singleLevel"/>
    <w:tmpl w:val="0053208E"/>
    <w:lvl w:ilvl="0" w:tentative="0">
      <w:start w:val="2"/>
      <w:numFmt w:val="chineseCounting"/>
      <w:suff w:val="nothing"/>
      <w:lvlText w:val="（%1）"/>
      <w:lvlJc w:val="left"/>
      <w:rPr>
        <w:rFonts w:hint="eastAsia"/>
      </w:rPr>
    </w:lvl>
  </w:abstractNum>
  <w:abstractNum w:abstractNumId="3">
    <w:nsid w:val="59ADCABA"/>
    <w:multiLevelType w:val="singleLevel"/>
    <w:tmpl w:val="59ADCABA"/>
    <w:lvl w:ilvl="0" w:tentative="0">
      <w:start w:val="3"/>
      <w:numFmt w:val="decimal"/>
      <w:lvlText w:val="%1."/>
      <w:lvlJc w:val="left"/>
      <w:pPr>
        <w:tabs>
          <w:tab w:val="left" w:pos="312"/>
        </w:tabs>
      </w:pPr>
      <w:rPr>
        <w:rFonts w:hint="default"/>
        <w:color w:val="000000" w:themeColor="text1"/>
        <w14:textFill>
          <w14:solidFill>
            <w14:schemeClr w14:val="tx1"/>
          </w14:solidFill>
        </w14:textFill>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yYmMyNzE2ODkyYTc2YjY1ZjUzODFhZGQwYmY5NTEifQ=="/>
  </w:docVars>
  <w:rsids>
    <w:rsidRoot w:val="00000000"/>
    <w:rsid w:val="0021248A"/>
    <w:rsid w:val="00222C39"/>
    <w:rsid w:val="0084092A"/>
    <w:rsid w:val="00A52074"/>
    <w:rsid w:val="02145649"/>
    <w:rsid w:val="02200E97"/>
    <w:rsid w:val="03DD3D9F"/>
    <w:rsid w:val="05A92D0B"/>
    <w:rsid w:val="05AF3E35"/>
    <w:rsid w:val="06E13F77"/>
    <w:rsid w:val="085021A2"/>
    <w:rsid w:val="088E70B2"/>
    <w:rsid w:val="08AA04D5"/>
    <w:rsid w:val="0ACD034D"/>
    <w:rsid w:val="0B9C633F"/>
    <w:rsid w:val="0BCC0CCE"/>
    <w:rsid w:val="0D2F0AAF"/>
    <w:rsid w:val="0E2D5B61"/>
    <w:rsid w:val="0EF11CBC"/>
    <w:rsid w:val="0F5D63CD"/>
    <w:rsid w:val="10C96911"/>
    <w:rsid w:val="11F73BC0"/>
    <w:rsid w:val="12FF4C08"/>
    <w:rsid w:val="1345191E"/>
    <w:rsid w:val="16B21500"/>
    <w:rsid w:val="187C030A"/>
    <w:rsid w:val="195407B5"/>
    <w:rsid w:val="1A1B53F1"/>
    <w:rsid w:val="1B930D76"/>
    <w:rsid w:val="1D792624"/>
    <w:rsid w:val="1E20053E"/>
    <w:rsid w:val="1FF5620E"/>
    <w:rsid w:val="20F97641"/>
    <w:rsid w:val="21E05476"/>
    <w:rsid w:val="227F4B0A"/>
    <w:rsid w:val="247D7B87"/>
    <w:rsid w:val="25744D91"/>
    <w:rsid w:val="277D6611"/>
    <w:rsid w:val="29E4176D"/>
    <w:rsid w:val="2BDC0FB1"/>
    <w:rsid w:val="2EDF4CCD"/>
    <w:rsid w:val="30E50259"/>
    <w:rsid w:val="31CC198C"/>
    <w:rsid w:val="33A370CF"/>
    <w:rsid w:val="36D61225"/>
    <w:rsid w:val="36F5525F"/>
    <w:rsid w:val="379C3687"/>
    <w:rsid w:val="3806273F"/>
    <w:rsid w:val="39864474"/>
    <w:rsid w:val="3A4C1223"/>
    <w:rsid w:val="3B19714A"/>
    <w:rsid w:val="3F256F3B"/>
    <w:rsid w:val="3F5B4109"/>
    <w:rsid w:val="413744FE"/>
    <w:rsid w:val="41436921"/>
    <w:rsid w:val="4145339B"/>
    <w:rsid w:val="43537F35"/>
    <w:rsid w:val="43C43621"/>
    <w:rsid w:val="448A25B4"/>
    <w:rsid w:val="4534554B"/>
    <w:rsid w:val="46C81F79"/>
    <w:rsid w:val="48810D56"/>
    <w:rsid w:val="48AA1CA9"/>
    <w:rsid w:val="4950318F"/>
    <w:rsid w:val="49C86B82"/>
    <w:rsid w:val="4AC92CAA"/>
    <w:rsid w:val="4AFB1266"/>
    <w:rsid w:val="4CDA1269"/>
    <w:rsid w:val="4D3B7B46"/>
    <w:rsid w:val="4E9D1D67"/>
    <w:rsid w:val="4F587E6E"/>
    <w:rsid w:val="4F9F147B"/>
    <w:rsid w:val="515335A3"/>
    <w:rsid w:val="51A24CC1"/>
    <w:rsid w:val="526B21EC"/>
    <w:rsid w:val="544413C7"/>
    <w:rsid w:val="54FA6014"/>
    <w:rsid w:val="5569554A"/>
    <w:rsid w:val="584B1D06"/>
    <w:rsid w:val="5AEC11DC"/>
    <w:rsid w:val="5B8A666C"/>
    <w:rsid w:val="5B921532"/>
    <w:rsid w:val="5E7D67D8"/>
    <w:rsid w:val="60E474CE"/>
    <w:rsid w:val="618462AF"/>
    <w:rsid w:val="62122994"/>
    <w:rsid w:val="633D2381"/>
    <w:rsid w:val="647A02F5"/>
    <w:rsid w:val="65DD6F9A"/>
    <w:rsid w:val="6617381D"/>
    <w:rsid w:val="66FA08B4"/>
    <w:rsid w:val="6753273D"/>
    <w:rsid w:val="68EF10DD"/>
    <w:rsid w:val="6A410F0B"/>
    <w:rsid w:val="6E8E77EF"/>
    <w:rsid w:val="7019347A"/>
    <w:rsid w:val="70533425"/>
    <w:rsid w:val="709C565B"/>
    <w:rsid w:val="71067B98"/>
    <w:rsid w:val="713E568E"/>
    <w:rsid w:val="73A11102"/>
    <w:rsid w:val="75715594"/>
    <w:rsid w:val="75B92CAE"/>
    <w:rsid w:val="75C46D08"/>
    <w:rsid w:val="75D44CE8"/>
    <w:rsid w:val="767127DD"/>
    <w:rsid w:val="76913E22"/>
    <w:rsid w:val="788A67DA"/>
    <w:rsid w:val="78D70D91"/>
    <w:rsid w:val="78FA33CA"/>
    <w:rsid w:val="797164D8"/>
    <w:rsid w:val="7B0C406D"/>
    <w:rsid w:val="7B0D3EDA"/>
    <w:rsid w:val="7B612EF1"/>
    <w:rsid w:val="7D0B4AB5"/>
    <w:rsid w:val="7D0F17D2"/>
    <w:rsid w:val="7E9F0E0D"/>
    <w:rsid w:val="7EA978FF"/>
    <w:rsid w:val="7FD078E9"/>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3.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5.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6.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7.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8.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9.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Props1.xml><?xml version="1.0" encoding="utf-8"?>
<ds:datastoreItem xmlns:ds="http://schemas.openxmlformats.org/officeDocument/2006/customXml" ds:itemID="{7955183d-4b30-4aff-b828-356770cf41ca}">
  <ds:schemaRefs/>
</ds:datastoreItem>
</file>

<file path=customXml/itemProps2.xml><?xml version="1.0" encoding="utf-8"?>
<ds:datastoreItem xmlns:ds="http://schemas.openxmlformats.org/officeDocument/2006/customXml" ds:itemID="{ef4b2a80-3d28-49ad-be6a-9998b2ef73a8}">
  <ds:schemaRefs/>
</ds:datastoreItem>
</file>

<file path=customXml/itemProps3.xml><?xml version="1.0" encoding="utf-8"?>
<ds:datastoreItem xmlns:ds="http://schemas.openxmlformats.org/officeDocument/2006/customXml" ds:itemID="{39417835-bcd8-45db-b28a-4af5aa5835bc}">
  <ds:schemaRefs/>
</ds:datastoreItem>
</file>

<file path=customXml/itemProps4.xml><?xml version="1.0" encoding="utf-8"?>
<ds:datastoreItem xmlns:ds="http://schemas.openxmlformats.org/officeDocument/2006/customXml" ds:itemID="{fc9f4678-84d6-47bc-81b1-63d777f819fb}">
  <ds:schemaRefs/>
</ds:datastoreItem>
</file>

<file path=customXml/itemProps5.xml><?xml version="1.0" encoding="utf-8"?>
<ds:datastoreItem xmlns:ds="http://schemas.openxmlformats.org/officeDocument/2006/customXml" ds:itemID="{350f711f-1def-45cf-8cb0-347f015e7e27}">
  <ds:schemaRefs/>
</ds:datastoreItem>
</file>

<file path=customXml/itemProps6.xml><?xml version="1.0" encoding="utf-8"?>
<ds:datastoreItem xmlns:ds="http://schemas.openxmlformats.org/officeDocument/2006/customXml" ds:itemID="{e30ff5a5-b561-4af3-a2d0-949d18d291e9}">
  <ds:schemaRefs/>
</ds:datastoreItem>
</file>

<file path=customXml/itemProps7.xml><?xml version="1.0" encoding="utf-8"?>
<ds:datastoreItem xmlns:ds="http://schemas.openxmlformats.org/officeDocument/2006/customXml" ds:itemID="{da16b687-e413-472b-a880-2b09161a47f0}">
  <ds:schemaRefs/>
</ds:datastoreItem>
</file>

<file path=customXml/itemProps8.xml><?xml version="1.0" encoding="utf-8"?>
<ds:datastoreItem xmlns:ds="http://schemas.openxmlformats.org/officeDocument/2006/customXml" ds:itemID="{b4e4da87-a89e-413c-b6ef-cd2cda890681}">
  <ds:schemaRefs/>
</ds:datastoreItem>
</file>

<file path=customXml/itemProps9.xml><?xml version="1.0" encoding="utf-8"?>
<ds:datastoreItem xmlns:ds="http://schemas.openxmlformats.org/officeDocument/2006/customXml" ds:itemID="{b35dd04e-fb79-4935-9ff0-3bc55a5ff55b}">
  <ds:schemaRefs/>
</ds:datastoreItem>
</file>

<file path=docProps/app.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3</TotalTime>
  <ScaleCrop>false</ScaleCrop>
  <LinksUpToDate>false</LinksUpToDate>
  <CharactersWithSpaces>19293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DELL</cp:lastModifiedBy>
  <dcterms:modified xsi:type="dcterms:W3CDTF">2024-09-18T07:56:17Z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E06D266F13EA4024808CEEADBAD91186_11</vt:lpwstr>
  </property>
</Properties>
</file>