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2023年度</w:t>
      </w:r>
    </w:p>
    <w:p>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华池县城关小学部门决算</w:t>
      </w: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目录</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第一部分部门概况</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二、机构设置</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第二部分2023年度部门决算表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三、支出决算表</w:t>
      </w:r>
      <w:bookmarkStart w:id="2" w:name="_GoBack"/>
      <w:bookmarkEnd w:id="2"/>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六、一般公共预算财政拨款基本支出决算明细表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七、政府性基金预算财政拨款收入支出决算表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经费支出决算表</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第三部分2023年度部门决算情况说明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一、收入支出决算总体情况说明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四、财政拨款收入支出决算总体情况说明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六、一般公共预算财政拨款基本支出决算情况说明</w:t>
      </w:r>
    </w:p>
    <w:p>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七、政府性基金预算财政拨款收支决算情况说明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八、国有资本经营预算财政拨款支出情况说明</w:t>
      </w:r>
    </w:p>
    <w:p>
      <w:pPr>
        <w:spacing w:before="100" w:beforeLines="0" w:after="100" w:afterLines="0"/>
        <w:jc w:val="left"/>
        <w:rPr>
          <w:rFonts w:hint="eastAsia" w:ascii="宋体" w:hAnsi="宋体"/>
          <w:sz w:val="24"/>
          <w:szCs w:val="24"/>
          <w:lang w:val="en-US" w:eastAsia="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经费支出决算情况说明</w:t>
      </w:r>
    </w:p>
    <w:p>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十、机关运行经费支出情况说明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十一、政府采购支出情况说明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十二、国有资产占用情况说明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十三、其他需要说明的情况</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第四部分预算绩效情况说明</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第五部分名词解释</w:t>
      </w: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第一部分部门概况</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pPr>
        <w:spacing w:before="100" w:after="100"/>
        <w:jc w:val="left"/>
        <w:rPr>
          <w:rFonts w:ascii="宋体" w:hAnsi="宋体"/>
          <w:sz w:val="24"/>
          <w:szCs w:val="24"/>
          <w:lang w:val="zh-CN"/>
        </w:rPr>
      </w:pPr>
      <w:r>
        <w:rPr>
          <w:rFonts w:hint="eastAsia" w:ascii="宋体" w:hAnsi="宋体"/>
          <w:sz w:val="24"/>
          <w:szCs w:val="24"/>
          <w:lang w:val="zh-CN"/>
        </w:rPr>
        <w:t xml:space="preserve">1.研究拟定全校教育发展战略法，贯彻执行党和国家的教育方针、政策、法规。 </w:t>
      </w:r>
    </w:p>
    <w:p>
      <w:pPr>
        <w:spacing w:before="100" w:after="100"/>
        <w:jc w:val="left"/>
        <w:rPr>
          <w:rFonts w:ascii="宋体" w:hAnsi="宋体"/>
          <w:sz w:val="24"/>
          <w:szCs w:val="24"/>
          <w:lang w:val="zh-CN"/>
        </w:rPr>
      </w:pPr>
      <w:r>
        <w:rPr>
          <w:rFonts w:hint="eastAsia" w:ascii="宋体" w:hAnsi="宋体"/>
          <w:sz w:val="24"/>
          <w:szCs w:val="24"/>
          <w:lang w:val="zh-CN"/>
        </w:rPr>
        <w:t>2.研究拟定学校发展规划和年度计划，组织实施教育体制和办学体制改革。</w:t>
      </w:r>
    </w:p>
    <w:p>
      <w:pPr>
        <w:spacing w:before="100" w:after="100"/>
        <w:jc w:val="left"/>
        <w:rPr>
          <w:rFonts w:ascii="宋体" w:hAnsi="宋体"/>
          <w:sz w:val="24"/>
          <w:szCs w:val="24"/>
          <w:lang w:val="zh-CN"/>
        </w:rPr>
      </w:pPr>
      <w:r>
        <w:rPr>
          <w:rFonts w:hint="eastAsia" w:ascii="宋体" w:hAnsi="宋体"/>
          <w:sz w:val="24"/>
          <w:szCs w:val="24"/>
          <w:lang w:val="zh-CN"/>
        </w:rPr>
        <w:t xml:space="preserve">3.管理和指导学校基础教育工作，确保九年义务教育工作成果。 </w:t>
      </w:r>
    </w:p>
    <w:p>
      <w:pPr>
        <w:spacing w:before="100" w:after="100"/>
        <w:jc w:val="left"/>
        <w:rPr>
          <w:rFonts w:ascii="宋体" w:hAnsi="宋体"/>
          <w:sz w:val="24"/>
          <w:szCs w:val="24"/>
          <w:lang w:val="zh-CN"/>
        </w:rPr>
      </w:pPr>
      <w:r>
        <w:rPr>
          <w:rFonts w:hint="eastAsia" w:ascii="宋体" w:hAnsi="宋体"/>
          <w:sz w:val="24"/>
          <w:szCs w:val="24"/>
          <w:lang w:val="zh-CN"/>
        </w:rPr>
        <w:t>4.管理学校教育经费，严格执行财务制度。</w:t>
      </w:r>
    </w:p>
    <w:p>
      <w:pPr>
        <w:spacing w:before="100" w:after="100"/>
        <w:jc w:val="left"/>
        <w:rPr>
          <w:rFonts w:ascii="宋体" w:hAnsi="宋体"/>
          <w:sz w:val="24"/>
          <w:szCs w:val="24"/>
          <w:lang w:val="zh-CN"/>
        </w:rPr>
      </w:pPr>
      <w:r>
        <w:rPr>
          <w:rFonts w:hint="eastAsia" w:ascii="宋体" w:hAnsi="宋体"/>
          <w:sz w:val="24"/>
          <w:szCs w:val="24"/>
          <w:lang w:val="zh-CN"/>
        </w:rPr>
        <w:t>5.负责和指导学校教职工的思想政治工作，规划学校品德教育、体育、卫生教育、艺术教育和国防教育工作。</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二、机构设置</w:t>
      </w:r>
    </w:p>
    <w:p>
      <w:pPr>
        <w:spacing w:before="100" w:after="100"/>
        <w:jc w:val="left"/>
        <w:rPr>
          <w:rFonts w:ascii="宋体" w:hAnsi="宋体"/>
          <w:sz w:val="24"/>
          <w:szCs w:val="24"/>
          <w:lang w:val="zh-CN"/>
        </w:rPr>
      </w:pPr>
      <w:r>
        <w:rPr>
          <w:rFonts w:hint="eastAsia" w:ascii="宋体" w:hAnsi="宋体"/>
          <w:sz w:val="24"/>
          <w:szCs w:val="24"/>
          <w:lang w:val="zh-CN"/>
        </w:rPr>
        <w:t>华池县城关小学，副科级事业单位，核定内设机构4个：教务处、政教处、总务处和办公室，我单位共有正式职工7</w:t>
      </w:r>
      <w:r>
        <w:rPr>
          <w:rFonts w:hint="eastAsia" w:ascii="宋体" w:hAnsi="宋体"/>
          <w:sz w:val="24"/>
          <w:szCs w:val="24"/>
          <w:lang w:val="en-US" w:eastAsia="zh-CN"/>
        </w:rPr>
        <w:t>3</w:t>
      </w:r>
      <w:r>
        <w:rPr>
          <w:rFonts w:hint="eastAsia" w:ascii="宋体" w:hAnsi="宋体"/>
          <w:sz w:val="24"/>
          <w:szCs w:val="24"/>
          <w:lang w:val="zh-CN"/>
        </w:rPr>
        <w:t>人，其中高级教师13人，一级教师35人，二级教师25人，技工1人，实配领导4名（副科）。</w:t>
      </w:r>
    </w:p>
    <w:p>
      <w:pPr>
        <w:spacing w:before="100" w:after="100"/>
        <w:jc w:val="center"/>
        <w:rPr>
          <w:rFonts w:ascii="宋体" w:hAnsi="宋体"/>
          <w:sz w:val="24"/>
          <w:szCs w:val="24"/>
          <w:lang w:val="zh-CN"/>
        </w:rPr>
      </w:pPr>
      <w:r>
        <w:rPr>
          <w:rFonts w:hint="eastAsia" w:ascii="宋体" w:hAnsi="宋体"/>
          <w:b/>
          <w:color w:val="auto"/>
          <w:sz w:val="24"/>
          <w:szCs w:val="24"/>
          <w:lang w:val="zh-CN"/>
        </w:rPr>
        <w:t>第二部分2023年度部门决算表</w:t>
      </w:r>
      <w:r>
        <w:rPr>
          <w:rFonts w:hint="eastAsia" w:ascii="宋体" w:hAnsi="宋体"/>
          <w:b/>
          <w:sz w:val="24"/>
          <w:szCs w:val="24"/>
          <w:lang w:val="zh-CN"/>
        </w:rPr>
        <w:t>（详见附件1）</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一、收入支出决算总表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二、收入决算表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三、支出决算表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四、财政拨款收入支出决算总表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w:t>
      </w:r>
    </w:p>
    <w:p>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一、收入支出决算总体情况说明</w:t>
      </w:r>
    </w:p>
    <w:p>
      <w:pPr>
        <w:spacing w:before="100" w:after="100"/>
        <w:jc w:val="left"/>
        <w:rPr>
          <w:rFonts w:ascii="宋体" w:hAnsi="宋体"/>
          <w:color w:val="auto"/>
          <w:sz w:val="24"/>
          <w:szCs w:val="24"/>
          <w:highlight w:val="none"/>
          <w:lang w:val="zh-CN"/>
        </w:rPr>
      </w:pPr>
      <w:r>
        <w:rPr>
          <w:rFonts w:hint="eastAsia" w:ascii="宋体" w:hAnsi="宋体"/>
          <w:color w:val="auto"/>
          <w:sz w:val="24"/>
          <w:szCs w:val="24"/>
          <w:lang w:val="zh-CN"/>
        </w:rPr>
        <w:t>2023年度收、支总计</w:t>
      </w:r>
      <w:r>
        <w:rPr>
          <w:rFonts w:hint="eastAsia" w:ascii="宋体" w:hAnsi="宋体"/>
          <w:color w:val="auto"/>
          <w:sz w:val="24"/>
          <w:szCs w:val="24"/>
          <w:lang w:val="en-US"/>
        </w:rPr>
        <w:t>均为</w:t>
      </w:r>
      <w:r>
        <w:rPr>
          <w:rFonts w:hint="eastAsia" w:ascii="宋体" w:hAnsi="宋体"/>
          <w:color w:val="auto"/>
          <w:sz w:val="24"/>
          <w:szCs w:val="24"/>
          <w:lang w:val="zh-CN"/>
        </w:rPr>
        <w:t>1144.82万元。</w:t>
      </w:r>
      <w:r>
        <w:rPr>
          <w:rFonts w:hint="eastAsia" w:ascii="宋体" w:hAnsi="宋体"/>
          <w:color w:val="auto"/>
          <w:sz w:val="24"/>
          <w:szCs w:val="24"/>
          <w:lang w:val="en-US"/>
        </w:rPr>
        <w:t>与上年度相比,</w:t>
      </w:r>
      <w:r>
        <w:rPr>
          <w:rFonts w:hint="eastAsia" w:ascii="宋体" w:hAnsi="宋体"/>
          <w:color w:val="auto"/>
          <w:sz w:val="24"/>
          <w:szCs w:val="24"/>
          <w:lang w:val="zh-CN"/>
        </w:rPr>
        <w:t>收、支</w:t>
      </w:r>
      <w:r>
        <w:rPr>
          <w:rFonts w:hint="eastAsia" w:ascii="宋体" w:hAnsi="宋体"/>
          <w:color w:val="auto"/>
          <w:sz w:val="24"/>
          <w:szCs w:val="24"/>
          <w:lang w:val="en-US"/>
        </w:rPr>
        <w:t>总计各</w:t>
      </w:r>
      <w:r>
        <w:rPr>
          <w:rFonts w:hint="eastAsia" w:ascii="宋体" w:hAnsi="宋体"/>
          <w:color w:val="auto"/>
          <w:sz w:val="24"/>
          <w:szCs w:val="24"/>
          <w:lang w:val="zh-CN"/>
        </w:rPr>
        <w:t>减少16.44万元,下降1.42%,</w:t>
      </w:r>
      <w:r>
        <w:rPr>
          <w:rFonts w:hint="eastAsia" w:ascii="宋体" w:hAnsi="宋体"/>
          <w:sz w:val="24"/>
          <w:szCs w:val="24"/>
          <w:lang w:val="zh-CN"/>
        </w:rPr>
        <w:t>主要原因是：</w:t>
      </w:r>
      <w:bookmarkStart w:id="0" w:name="OLE_LINK1"/>
      <w:r>
        <w:rPr>
          <w:rFonts w:hint="eastAsia" w:ascii="宋体" w:hAnsi="宋体"/>
          <w:color w:val="auto"/>
          <w:sz w:val="24"/>
          <w:szCs w:val="24"/>
          <w:highlight w:val="none"/>
          <w:lang w:val="zh-CN"/>
        </w:rPr>
        <w:t>一是师生人数</w:t>
      </w:r>
      <w:r>
        <w:rPr>
          <w:rFonts w:ascii="宋体" w:hAnsi="宋体"/>
          <w:color w:val="auto"/>
          <w:sz w:val="24"/>
          <w:szCs w:val="24"/>
          <w:highlight w:val="none"/>
          <w:lang w:val="zh-CN"/>
        </w:rPr>
        <w:t>变</w:t>
      </w:r>
      <w:r>
        <w:rPr>
          <w:rFonts w:hint="eastAsia" w:ascii="宋体" w:hAnsi="宋体"/>
          <w:color w:val="auto"/>
          <w:sz w:val="24"/>
          <w:szCs w:val="24"/>
          <w:highlight w:val="none"/>
          <w:lang w:val="en-US" w:eastAsia="zh-CN"/>
        </w:rPr>
        <w:t>化</w:t>
      </w:r>
      <w:r>
        <w:rPr>
          <w:rFonts w:hint="eastAsia" w:ascii="宋体" w:hAnsi="宋体"/>
          <w:color w:val="auto"/>
          <w:sz w:val="24"/>
          <w:szCs w:val="24"/>
          <w:highlight w:val="none"/>
          <w:lang w:val="zh-CN"/>
        </w:rPr>
        <w:t>，</w:t>
      </w:r>
      <w:r>
        <w:rPr>
          <w:rFonts w:hint="eastAsia" w:ascii="宋体" w:hAnsi="宋体"/>
          <w:color w:val="auto"/>
          <w:sz w:val="24"/>
          <w:szCs w:val="24"/>
          <w:highlight w:val="none"/>
          <w:lang w:val="en-US" w:eastAsia="zh-CN"/>
        </w:rPr>
        <w:t>二是严格把控资金使用，缩减开支</w:t>
      </w:r>
      <w:r>
        <w:rPr>
          <w:rFonts w:hint="eastAsia" w:ascii="宋体" w:hAnsi="宋体"/>
          <w:color w:val="auto"/>
          <w:sz w:val="24"/>
          <w:szCs w:val="24"/>
          <w:highlight w:val="none"/>
          <w:lang w:val="zh-CN"/>
        </w:rPr>
        <w:t>。</w:t>
      </w:r>
      <w:bookmarkStart w:id="1" w:name="OLE_LINK2"/>
    </w:p>
    <w:bookmarkEnd w:id="0"/>
    <w:bookmarkEnd w:id="1"/>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二、收入决算情况说明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2023年度收入合计1144.82万元,其中：财政拨款收入1144.82万元,占100.00%；</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2023年度支出合计1144.82万元,其中：基本支出1144.82万元,占100.00%</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四、财政拨款收入支出决算总体情况说明</w:t>
      </w:r>
    </w:p>
    <w:p>
      <w:pPr>
        <w:spacing w:before="100" w:after="100"/>
        <w:jc w:val="left"/>
        <w:rPr>
          <w:rFonts w:hint="eastAsia" w:ascii="宋体" w:hAnsi="宋体"/>
          <w:color w:val="auto"/>
          <w:sz w:val="24"/>
          <w:szCs w:val="24"/>
          <w:lang w:val="zh-CN"/>
        </w:rPr>
      </w:pPr>
      <w:r>
        <w:rPr>
          <w:rFonts w:hint="eastAsia" w:ascii="宋体" w:hAnsi="宋体"/>
          <w:color w:val="auto"/>
          <w:sz w:val="24"/>
          <w:szCs w:val="24"/>
          <w:lang w:val="zh-CN"/>
        </w:rPr>
        <w:t>2023年度财政拨款收、支总计</w:t>
      </w:r>
      <w:r>
        <w:rPr>
          <w:rFonts w:hint="eastAsia" w:ascii="宋体" w:hAnsi="宋体"/>
          <w:color w:val="auto"/>
          <w:sz w:val="24"/>
          <w:szCs w:val="24"/>
          <w:lang w:val="en-US"/>
        </w:rPr>
        <w:t>均为</w:t>
      </w:r>
      <w:r>
        <w:rPr>
          <w:rFonts w:hint="eastAsia" w:ascii="宋体" w:hAnsi="宋体"/>
          <w:color w:val="auto"/>
          <w:sz w:val="24"/>
          <w:szCs w:val="24"/>
          <w:lang w:val="zh-CN"/>
        </w:rPr>
        <w:t>1144.82万元。与</w:t>
      </w:r>
      <w:r>
        <w:rPr>
          <w:rFonts w:hint="eastAsia" w:ascii="宋体" w:hAnsi="宋体"/>
          <w:color w:val="auto"/>
          <w:sz w:val="24"/>
          <w:szCs w:val="24"/>
          <w:lang w:val="en-US"/>
        </w:rPr>
        <w:t>上</w:t>
      </w:r>
      <w:r>
        <w:rPr>
          <w:rFonts w:hint="eastAsia" w:ascii="宋体" w:hAnsi="宋体"/>
          <w:color w:val="auto"/>
          <w:sz w:val="24"/>
          <w:szCs w:val="24"/>
          <w:lang w:val="zh-CN"/>
        </w:rPr>
        <w:t>年相比,各减少16.44万元,下降1.42%。</w:t>
      </w:r>
      <w:r>
        <w:rPr>
          <w:rFonts w:hint="eastAsia" w:ascii="宋体" w:hAnsi="宋体"/>
          <w:color w:val="auto"/>
          <w:sz w:val="24"/>
          <w:szCs w:val="24"/>
          <w:highlight w:val="none"/>
          <w:lang w:val="zh-CN"/>
        </w:rPr>
        <w:t>一是师生人数</w:t>
      </w:r>
      <w:r>
        <w:rPr>
          <w:rFonts w:ascii="宋体" w:hAnsi="宋体"/>
          <w:color w:val="auto"/>
          <w:sz w:val="24"/>
          <w:szCs w:val="24"/>
          <w:highlight w:val="none"/>
          <w:lang w:val="zh-CN"/>
        </w:rPr>
        <w:t>变</w:t>
      </w:r>
      <w:r>
        <w:rPr>
          <w:rFonts w:hint="eastAsia" w:ascii="宋体" w:hAnsi="宋体"/>
          <w:color w:val="auto"/>
          <w:sz w:val="24"/>
          <w:szCs w:val="24"/>
          <w:highlight w:val="none"/>
          <w:lang w:val="en-US" w:eastAsia="zh-CN"/>
        </w:rPr>
        <w:t>化</w:t>
      </w:r>
      <w:r>
        <w:rPr>
          <w:rFonts w:hint="eastAsia" w:ascii="宋体" w:hAnsi="宋体"/>
          <w:color w:val="auto"/>
          <w:sz w:val="24"/>
          <w:szCs w:val="24"/>
          <w:highlight w:val="none"/>
          <w:lang w:val="zh-CN"/>
        </w:rPr>
        <w:t>，</w:t>
      </w:r>
      <w:r>
        <w:rPr>
          <w:rFonts w:hint="eastAsia" w:ascii="宋体" w:hAnsi="宋体"/>
          <w:color w:val="auto"/>
          <w:sz w:val="24"/>
          <w:szCs w:val="24"/>
          <w:highlight w:val="none"/>
          <w:lang w:val="en-US" w:eastAsia="zh-CN"/>
        </w:rPr>
        <w:t>二是严格把控资金使用，缩减开支</w:t>
      </w:r>
      <w:r>
        <w:rPr>
          <w:rFonts w:hint="eastAsia" w:ascii="宋体" w:hAnsi="宋体"/>
          <w:color w:val="auto"/>
          <w:sz w:val="24"/>
          <w:szCs w:val="24"/>
          <w:highlight w:val="none"/>
          <w:lang w:val="zh-CN"/>
        </w:rPr>
        <w:t>。</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五、一般公共预算财政拨款支出决算情况说明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（一）一般公共预算财政拨款支出决算总体情况</w:t>
      </w:r>
    </w:p>
    <w:p>
      <w:pPr>
        <w:spacing w:before="100" w:beforeLines="0" w:after="100" w:afterLines="0"/>
        <w:jc w:val="left"/>
        <w:rPr>
          <w:rFonts w:hint="eastAsia" w:ascii="宋体" w:hAnsi="宋体"/>
          <w:color w:val="FF0000"/>
          <w:sz w:val="24"/>
          <w:szCs w:val="24"/>
          <w:lang w:val="zh-CN"/>
        </w:rPr>
      </w:pPr>
      <w:r>
        <w:rPr>
          <w:rFonts w:hint="eastAsia" w:ascii="宋体" w:hAnsi="宋体"/>
          <w:color w:val="auto"/>
          <w:sz w:val="24"/>
          <w:szCs w:val="24"/>
          <w:lang w:val="zh-CN"/>
        </w:rPr>
        <w:t>2023年度一般公共预算财政拨款支出1144.82万元,较上年决算数增加134.29万元,增长13.29%。主要原因一是在职人数增加，二是工资调整，三是根据国家政策加大教育投入，大力改善教学育人环境。</w:t>
      </w:r>
    </w:p>
    <w:p>
      <w:pPr>
        <w:numPr>
          <w:ilvl w:val="0"/>
          <w:numId w:val="1"/>
        </w:num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一般公共预算财政拨款支出决算结构情况</w:t>
      </w:r>
    </w:p>
    <w:p>
      <w:pPr>
        <w:numPr>
          <w:ilvl w:val="0"/>
          <w:numId w:val="0"/>
        </w:numPr>
        <w:spacing w:before="100" w:beforeLines="0" w:after="100" w:afterLines="0"/>
        <w:jc w:val="left"/>
        <w:rPr>
          <w:rFonts w:hint="eastAsia" w:ascii="宋体" w:hAnsi="宋体"/>
          <w:color w:val="FF0000"/>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w:t>
      </w:r>
      <w:r>
        <w:rPr>
          <w:rFonts w:hint="eastAsia" w:ascii="宋体" w:hAnsi="宋体"/>
          <w:color w:val="auto"/>
          <w:sz w:val="24"/>
          <w:szCs w:val="24"/>
          <w:lang w:val="zh-CN"/>
        </w:rPr>
        <w:t>1144.82万元，主要用于以下方面：教育支出990.56万元,占86.52%；社会保障和就业支出94.65万元,占8.27%；卫生健康支出59.62万元,占5.21%。</w:t>
      </w:r>
    </w:p>
    <w:p>
      <w:pPr>
        <w:numPr>
          <w:ilvl w:val="0"/>
          <w:numId w:val="1"/>
        </w:numPr>
        <w:spacing w:before="100" w:beforeLines="0" w:after="100" w:afterLines="0"/>
        <w:ind w:left="0" w:leftChars="0" w:firstLine="0" w:firstLineChar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一般公共预算财政拨款支出决算具体情况。</w:t>
      </w:r>
    </w:p>
    <w:p>
      <w:pPr>
        <w:numPr>
          <w:ilvl w:val="0"/>
          <w:numId w:val="0"/>
        </w:numPr>
        <w:spacing w:before="100" w:beforeLines="0" w:after="100" w:afterLines="0"/>
        <w:ind w:leftChars="0"/>
        <w:jc w:val="left"/>
        <w:rPr>
          <w:rFonts w:hint="eastAsia" w:ascii="宋体" w:hAnsi="宋体"/>
          <w:color w:val="auto"/>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2023年度一般公共预算财政拨款支出年初预算为</w:t>
      </w:r>
      <w:r>
        <w:rPr>
          <w:rFonts w:hint="eastAsia" w:ascii="宋体" w:hAnsi="宋体"/>
          <w:color w:val="auto"/>
          <w:sz w:val="24"/>
          <w:szCs w:val="24"/>
          <w:lang w:val="zh-CN"/>
        </w:rPr>
        <w:t>1042.23万元,支出决算为1144.82万元,完成年初预算的109.84%。其中：</w:t>
      </w:r>
    </w:p>
    <w:p>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．教育支出</w:t>
      </w:r>
      <w:r>
        <w:rPr>
          <w:rFonts w:hint="eastAsia" w:ascii="宋体" w:hAnsi="宋体"/>
          <w:color w:val="auto"/>
          <w:sz w:val="24"/>
          <w:szCs w:val="24"/>
          <w:lang w:val="zh-CN"/>
        </w:rPr>
        <w:t>年初预算数为855.32万元,支出决算为990.56万元,完成年初预算的115.81%,决算数大于预算数的</w:t>
      </w:r>
      <w:r>
        <w:rPr>
          <w:rFonts w:hint="eastAsia" w:ascii="宋体" w:hAnsi="宋体"/>
          <w:sz w:val="24"/>
          <w:szCs w:val="24"/>
          <w:lang w:val="zh-CN"/>
        </w:rPr>
        <w:t>主要原因是学校硬件设施老化维修较多；学校办公条件改善；学校教师及学生人数增加,人员经费支出增加。</w:t>
      </w:r>
    </w:p>
    <w:p>
      <w:pPr>
        <w:spacing w:before="100" w:after="100"/>
        <w:jc w:val="left"/>
        <w:rPr>
          <w:rFonts w:ascii="宋体" w:hAnsi="宋体"/>
          <w:sz w:val="24"/>
          <w:szCs w:val="24"/>
          <w:lang w:val="zh-CN"/>
        </w:rPr>
      </w:pPr>
      <w:r>
        <w:rPr>
          <w:rFonts w:hint="eastAsia" w:ascii="Times New Roman" w:hAnsi="Times New Roman" w:eastAsia="宋体"/>
          <w:b/>
          <w:color w:val="auto"/>
          <w:sz w:val="24"/>
          <w:szCs w:val="24"/>
          <w:lang w:val="en-US" w:eastAsia="zh-CN"/>
        </w:rPr>
        <w:t>2</w:t>
      </w:r>
      <w:r>
        <w:rPr>
          <w:rFonts w:hint="eastAsia" w:ascii="宋体" w:hAnsi="宋体"/>
          <w:b/>
          <w:color w:val="auto"/>
          <w:sz w:val="24"/>
          <w:szCs w:val="24"/>
          <w:lang w:val="zh-CN"/>
        </w:rPr>
        <w:t>．社会保障和就业支出</w:t>
      </w:r>
      <w:r>
        <w:rPr>
          <w:rFonts w:hint="eastAsia" w:ascii="宋体" w:hAnsi="宋体"/>
          <w:color w:val="auto"/>
          <w:sz w:val="24"/>
          <w:szCs w:val="24"/>
          <w:lang w:val="zh-CN"/>
        </w:rPr>
        <w:t>年初预算数为135.89万元,支出决算为94.65万元,完成年初预算的69.65%,决算数小于预算数的</w:t>
      </w:r>
      <w:r>
        <w:rPr>
          <w:rFonts w:hint="eastAsia" w:ascii="宋体" w:hAnsi="宋体"/>
          <w:sz w:val="24"/>
          <w:szCs w:val="24"/>
          <w:lang w:val="zh-CN"/>
        </w:rPr>
        <w:t>主要原因是职工退休后转入社保领养老金,各类保险支出相应减少。</w:t>
      </w:r>
    </w:p>
    <w:p>
      <w:pPr>
        <w:spacing w:before="100" w:after="100"/>
        <w:jc w:val="left"/>
        <w:rPr>
          <w:rFonts w:hint="eastAsia" w:ascii="宋体" w:hAnsi="宋体"/>
          <w:color w:val="FF0000"/>
          <w:sz w:val="24"/>
          <w:szCs w:val="24"/>
          <w:lang w:val="zh-CN"/>
        </w:rPr>
      </w:pPr>
      <w:r>
        <w:rPr>
          <w:rFonts w:hint="eastAsia" w:ascii="Times New Roman" w:hAnsi="Times New Roman" w:eastAsia="宋体"/>
          <w:b/>
          <w:color w:val="auto"/>
          <w:sz w:val="24"/>
          <w:szCs w:val="24"/>
          <w:lang w:val="en-US" w:eastAsia="zh-CN"/>
        </w:rPr>
        <w:t>3</w:t>
      </w:r>
      <w:r>
        <w:rPr>
          <w:rFonts w:hint="eastAsia" w:ascii="宋体" w:hAnsi="宋体"/>
          <w:b/>
          <w:color w:val="auto"/>
          <w:sz w:val="24"/>
          <w:szCs w:val="24"/>
          <w:lang w:val="zh-CN"/>
        </w:rPr>
        <w:t>．卫生健康支出</w:t>
      </w:r>
      <w:r>
        <w:rPr>
          <w:rFonts w:hint="eastAsia" w:ascii="宋体" w:hAnsi="宋体"/>
          <w:color w:val="auto"/>
          <w:sz w:val="24"/>
          <w:szCs w:val="24"/>
          <w:lang w:val="zh-CN"/>
        </w:rPr>
        <w:t>年初预算数为51.02万元,支出决算为59.62万元,完成年初预算的116.85%,决算数大于预算数的</w:t>
      </w:r>
      <w:r>
        <w:rPr>
          <w:rFonts w:hint="eastAsia" w:ascii="宋体" w:hAnsi="宋体"/>
          <w:sz w:val="24"/>
          <w:szCs w:val="24"/>
          <w:lang w:val="zh-CN"/>
        </w:rPr>
        <w:t>主要原因是职工退休后转入社保领养老金,各类保险支出相应减少。</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六、一般公共预算财政拨款基本支出决算情况说明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2023年度一般公共预算财政拨款基本支出1144.82万元。其中：</w:t>
      </w:r>
    </w:p>
    <w:p>
      <w:pPr>
        <w:spacing w:before="100" w:after="100"/>
        <w:jc w:val="left"/>
        <w:rPr>
          <w:rFonts w:hint="eastAsia" w:ascii="宋体" w:hAnsi="宋体"/>
          <w:color w:val="auto"/>
          <w:sz w:val="24"/>
          <w:szCs w:val="24"/>
          <w:lang w:val="zh-CN"/>
        </w:rPr>
      </w:pPr>
      <w:r>
        <w:rPr>
          <w:rFonts w:hint="eastAsia" w:ascii="宋体" w:hAnsi="宋体"/>
          <w:b/>
          <w:color w:val="auto"/>
          <w:sz w:val="24"/>
          <w:szCs w:val="24"/>
          <w:lang w:val="zh-CN"/>
        </w:rPr>
        <w:t>人员经费</w:t>
      </w:r>
      <w:r>
        <w:rPr>
          <w:rFonts w:hint="eastAsia" w:ascii="宋体" w:hAnsi="宋体"/>
          <w:color w:val="auto"/>
          <w:sz w:val="24"/>
          <w:szCs w:val="24"/>
          <w:lang w:val="zh-CN"/>
        </w:rPr>
        <w:t>1101.91万元,较上年决算数增加194.09万元,增长21.38%,</w:t>
      </w:r>
      <w:r>
        <w:rPr>
          <w:rFonts w:hint="eastAsia" w:ascii="宋体" w:hAnsi="宋体"/>
          <w:sz w:val="24"/>
          <w:szCs w:val="24"/>
          <w:lang w:val="zh-CN"/>
        </w:rPr>
        <w:t>主要原因是学校教师及学生人数增加,人员经费支出增加。人员经费用途主要包括基本工资、津贴补贴、奖金、社会保障缴费等。</w:t>
      </w:r>
    </w:p>
    <w:p>
      <w:pPr>
        <w:spacing w:before="100" w:after="100"/>
        <w:jc w:val="left"/>
        <w:rPr>
          <w:rFonts w:ascii="宋体" w:hAnsi="宋体"/>
          <w:sz w:val="24"/>
          <w:szCs w:val="24"/>
          <w:lang w:val="zh-CN"/>
        </w:rPr>
      </w:pPr>
      <w:r>
        <w:rPr>
          <w:rFonts w:hint="eastAsia" w:ascii="宋体" w:hAnsi="宋体"/>
          <w:b/>
          <w:color w:val="auto"/>
          <w:sz w:val="24"/>
          <w:szCs w:val="24"/>
          <w:lang w:val="zh-CN"/>
        </w:rPr>
        <w:t>公用经费</w:t>
      </w:r>
      <w:r>
        <w:rPr>
          <w:rFonts w:hint="eastAsia" w:ascii="宋体" w:hAnsi="宋体"/>
          <w:color w:val="auto"/>
          <w:sz w:val="24"/>
          <w:szCs w:val="24"/>
          <w:lang w:val="zh-CN"/>
        </w:rPr>
        <w:t>42.92万元,较上年决算数减少59.79万元,下降58.22%,</w:t>
      </w:r>
      <w:r>
        <w:rPr>
          <w:rFonts w:hint="eastAsia" w:ascii="宋体" w:hAnsi="宋体"/>
          <w:sz w:val="24"/>
          <w:szCs w:val="24"/>
          <w:lang w:val="zh-CN"/>
        </w:rPr>
        <w:t>主要原因是厉行节约。公用经费用途主要包括公用经费用途主要包括办公费、印刷费、咨询费、手续费、水电费、邮电费、差旅费、维修维护费等。</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七、政府性基金预算财政拨款收支决算情况说明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本部门2023年度无政府性基金收入,也没有使用政府性基金安排的支出。</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八、国有资本经营预算财政拨款支出情况说明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本部门2023年度没有使用国有资本经营预算安排的支出。</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九</w:t>
      </w:r>
      <w:r>
        <w:rPr>
          <w:rFonts w:hint="eastAsia" w:ascii="宋体" w:hAnsi="宋体"/>
          <w:b/>
          <w:bCs/>
          <w:color w:val="auto"/>
          <w:sz w:val="24"/>
          <w:szCs w:val="24"/>
          <w:lang w:val="zh-CN" w:eastAsia="zh-CN"/>
        </w:rPr>
        <w:t>、财政拨款</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三公</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经费支出决算情况说明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我单位属于</w:t>
      </w:r>
      <w:r>
        <w:rPr>
          <w:rFonts w:hint="eastAsia" w:ascii="宋体" w:hAnsi="宋体"/>
          <w:color w:val="auto"/>
          <w:sz w:val="24"/>
          <w:szCs w:val="24"/>
          <w:lang w:val="en-US" w:eastAsia="zh-CN"/>
        </w:rPr>
        <w:t>财政全额拨款事业单位</w:t>
      </w:r>
      <w:r>
        <w:rPr>
          <w:rFonts w:hint="eastAsia" w:ascii="宋体" w:hAnsi="宋体"/>
          <w:color w:val="auto"/>
          <w:sz w:val="24"/>
          <w:szCs w:val="24"/>
          <w:lang w:val="zh-CN"/>
        </w:rPr>
        <w:t>,财政未保障我单位</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(一)</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经费财政拨款支出总体情况说明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p>
    <w:p>
      <w:pPr>
        <w:numPr>
          <w:ilvl w:val="0"/>
          <w:numId w:val="2"/>
        </w:numPr>
        <w:spacing w:before="100" w:beforeLines="0" w:after="100" w:afterLines="0"/>
        <w:jc w:val="left"/>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经费财政拨款支出决算具体情况说明</w:t>
      </w:r>
    </w:p>
    <w:p>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因公出国(境)费用</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p>
    <w:p>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w:t>
      </w:r>
      <w:r>
        <w:rPr>
          <w:rFonts w:hint="eastAsia" w:ascii="宋体" w:hAnsi="宋体"/>
          <w:b/>
          <w:color w:val="auto"/>
          <w:sz w:val="24"/>
          <w:szCs w:val="24"/>
          <w:lang w:val="zh-CN"/>
        </w:rPr>
        <w:t>公务用车购置及运行维护费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其中：公务用车购置费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公务用车运行维护费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p>
    <w:p>
      <w:pPr>
        <w:numPr>
          <w:ilvl w:val="0"/>
          <w:numId w:val="3"/>
        </w:num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公务接待费</w:t>
      </w:r>
      <w:r>
        <w:rPr>
          <w:rFonts w:hint="eastAsia" w:ascii="宋体" w:hAnsi="宋体"/>
          <w:color w:val="auto"/>
          <w:sz w:val="24"/>
          <w:szCs w:val="24"/>
          <w:lang w:val="en-US"/>
        </w:rPr>
        <w:t>全</w:t>
      </w:r>
      <w:r>
        <w:rPr>
          <w:rFonts w:hint="eastAsia" w:ascii="宋体" w:hAnsi="宋体"/>
          <w:color w:val="auto"/>
          <w:sz w:val="24"/>
          <w:szCs w:val="24"/>
          <w:lang w:val="zh-CN"/>
        </w:rPr>
        <w:t>年预算数为0.00万元,支出决算为0.00万元。</w:t>
      </w:r>
    </w:p>
    <w:p>
      <w:pPr>
        <w:numPr>
          <w:ilvl w:val="0"/>
          <w:numId w:val="0"/>
        </w:numPr>
        <w:spacing w:before="100" w:beforeLines="0" w:after="100" w:afterLines="0"/>
        <w:jc w:val="left"/>
        <w:rPr>
          <w:rFonts w:hint="eastAsia" w:ascii="宋体" w:hAnsi="宋体"/>
          <w:color w:val="auto"/>
          <w:sz w:val="24"/>
          <w:szCs w:val="24"/>
          <w:lang w:val="en-US" w:eastAsia="zh-CN"/>
        </w:rPr>
      </w:pPr>
      <w:r>
        <w:rPr>
          <w:rFonts w:hint="eastAsia" w:ascii="宋体" w:hAnsi="宋体"/>
          <w:color w:val="auto"/>
          <w:sz w:val="24"/>
          <w:szCs w:val="24"/>
          <w:lang w:val="zh-CN"/>
        </w:rPr>
        <w:t>外事接待费支出0.00万元。</w:t>
      </w:r>
    </w:p>
    <w:p>
      <w:pPr>
        <w:numPr>
          <w:ilvl w:val="0"/>
          <w:numId w:val="0"/>
        </w:numPr>
        <w:spacing w:before="100" w:beforeLines="0" w:after="100" w:afterLines="0"/>
        <w:jc w:val="left"/>
        <w:rPr>
          <w:rFonts w:hint="default" w:ascii="宋体" w:hAnsi="宋体"/>
          <w:color w:val="auto"/>
          <w:sz w:val="24"/>
          <w:szCs w:val="24"/>
          <w:lang w:val="en-US" w:eastAsia="zh-CN"/>
        </w:rPr>
      </w:pPr>
      <w:r>
        <w:rPr>
          <w:rFonts w:hint="eastAsia" w:ascii="宋体" w:hAnsi="宋体"/>
          <w:color w:val="auto"/>
          <w:sz w:val="24"/>
          <w:szCs w:val="24"/>
          <w:lang w:val="en-US" w:eastAsia="zh-CN"/>
        </w:rPr>
        <w:t>其他国内公务接待支出</w:t>
      </w:r>
      <w:r>
        <w:rPr>
          <w:rFonts w:hint="eastAsia" w:ascii="宋体" w:hAnsi="宋体"/>
          <w:color w:val="auto"/>
          <w:sz w:val="24"/>
          <w:szCs w:val="24"/>
          <w:lang w:val="zh-CN"/>
        </w:rPr>
        <w:t>0.00万元。</w:t>
      </w:r>
    </w:p>
    <w:p>
      <w:pPr>
        <w:numPr>
          <w:ilvl w:val="0"/>
          <w:numId w:val="2"/>
        </w:numPr>
        <w:spacing w:before="100" w:beforeLines="0" w:after="100" w:afterLines="0"/>
        <w:ind w:left="0" w:leftChars="0" w:firstLine="0" w:firstLineChars="0"/>
        <w:jc w:val="left"/>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经费财政拨款支出决算实物量情况</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2023年度本部门</w:t>
      </w:r>
      <w:r>
        <w:rPr>
          <w:rFonts w:hint="eastAsia" w:ascii="宋体" w:hAnsi="宋体"/>
          <w:b/>
          <w:color w:val="auto"/>
          <w:sz w:val="24"/>
          <w:szCs w:val="24"/>
          <w:lang w:val="zh-CN"/>
        </w:rPr>
        <w:t>因公出国(境)</w:t>
      </w:r>
      <w:r>
        <w:rPr>
          <w:rFonts w:hint="eastAsia" w:ascii="宋体" w:hAnsi="宋体"/>
          <w:color w:val="auto"/>
          <w:sz w:val="24"/>
          <w:szCs w:val="24"/>
          <w:lang w:val="zh-CN"/>
        </w:rPr>
        <w:t>共计</w:t>
      </w:r>
      <w:r>
        <w:rPr>
          <w:rFonts w:hint="eastAsia" w:ascii="宋体" w:hAnsi="宋体"/>
          <w:color w:val="auto"/>
          <w:sz w:val="24"/>
          <w:szCs w:val="24"/>
          <w:lang w:val="en-US" w:eastAsia="zh-CN"/>
        </w:rPr>
        <w:t>0</w:t>
      </w:r>
      <w:r>
        <w:rPr>
          <w:rFonts w:hint="eastAsia" w:ascii="宋体" w:hAnsi="宋体"/>
          <w:color w:val="auto"/>
          <w:sz w:val="24"/>
          <w:szCs w:val="24"/>
          <w:lang w:val="zh-CN"/>
        </w:rPr>
        <w:t>个团组,人；</w:t>
      </w:r>
      <w:r>
        <w:rPr>
          <w:rFonts w:hint="eastAsia" w:ascii="宋体" w:hAnsi="宋体"/>
          <w:b/>
          <w:color w:val="auto"/>
          <w:sz w:val="24"/>
          <w:szCs w:val="24"/>
          <w:lang w:val="zh-CN"/>
        </w:rPr>
        <w:t>公务用车购置</w:t>
      </w:r>
      <w:r>
        <w:rPr>
          <w:rFonts w:hint="eastAsia" w:ascii="宋体" w:hAnsi="宋体"/>
          <w:b/>
          <w:color w:val="auto"/>
          <w:sz w:val="24"/>
          <w:szCs w:val="24"/>
          <w:lang w:val="en-US" w:eastAsia="zh-CN"/>
        </w:rPr>
        <w:t>0</w:t>
      </w:r>
      <w:r>
        <w:rPr>
          <w:rFonts w:hint="eastAsia" w:ascii="宋体" w:hAnsi="宋体"/>
          <w:color w:val="auto"/>
          <w:sz w:val="24"/>
          <w:szCs w:val="24"/>
          <w:lang w:val="zh-CN"/>
        </w:rPr>
        <w:t>辆,</w:t>
      </w:r>
      <w:r>
        <w:rPr>
          <w:rFonts w:hint="eastAsia" w:ascii="宋体" w:hAnsi="宋体"/>
          <w:b/>
          <w:color w:val="auto"/>
          <w:sz w:val="24"/>
          <w:szCs w:val="24"/>
          <w:lang w:val="zh-CN"/>
        </w:rPr>
        <w:t>公务用车保有量</w:t>
      </w:r>
      <w:r>
        <w:rPr>
          <w:rFonts w:hint="eastAsia" w:ascii="宋体" w:hAnsi="宋体"/>
          <w:color w:val="auto"/>
          <w:sz w:val="24"/>
          <w:szCs w:val="24"/>
          <w:lang w:val="zh-CN"/>
        </w:rPr>
        <w:t>为</w:t>
      </w:r>
      <w:r>
        <w:rPr>
          <w:rFonts w:hint="eastAsia" w:ascii="宋体" w:hAnsi="宋体"/>
          <w:color w:val="auto"/>
          <w:sz w:val="24"/>
          <w:szCs w:val="24"/>
          <w:lang w:val="en-US" w:eastAsia="zh-CN"/>
        </w:rPr>
        <w:t>0</w:t>
      </w:r>
      <w:r>
        <w:rPr>
          <w:rFonts w:hint="eastAsia" w:ascii="宋体" w:hAnsi="宋体"/>
          <w:color w:val="auto"/>
          <w:sz w:val="24"/>
          <w:szCs w:val="24"/>
          <w:lang w:val="zh-CN"/>
        </w:rPr>
        <w:t>辆；</w:t>
      </w:r>
      <w:r>
        <w:rPr>
          <w:rFonts w:hint="eastAsia" w:ascii="宋体" w:hAnsi="宋体"/>
          <w:b/>
          <w:color w:val="auto"/>
          <w:sz w:val="24"/>
          <w:szCs w:val="24"/>
          <w:lang w:val="zh-CN"/>
        </w:rPr>
        <w:t>国内公务接待</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人,其中：</w:t>
      </w:r>
      <w:r>
        <w:rPr>
          <w:rFonts w:hint="eastAsia" w:ascii="宋体" w:hAnsi="宋体"/>
          <w:b/>
          <w:color w:val="auto"/>
          <w:sz w:val="24"/>
          <w:szCs w:val="24"/>
          <w:lang w:val="zh-CN"/>
        </w:rPr>
        <w:t>外事接待</w:t>
      </w:r>
      <w:r>
        <w:rPr>
          <w:rFonts w:hint="eastAsia" w:ascii="宋体" w:hAnsi="宋体"/>
          <w:b/>
          <w:color w:val="auto"/>
          <w:sz w:val="24"/>
          <w:szCs w:val="24"/>
          <w:lang w:val="en-US" w:eastAsia="zh-CN"/>
        </w:rPr>
        <w:t>0</w:t>
      </w:r>
      <w:r>
        <w:rPr>
          <w:rFonts w:hint="eastAsia" w:ascii="宋体" w:hAnsi="宋体"/>
          <w:color w:val="auto"/>
          <w:sz w:val="24"/>
          <w:szCs w:val="24"/>
          <w:lang w:val="zh-CN"/>
        </w:rPr>
        <w:t>批次,人；</w:t>
      </w:r>
      <w:r>
        <w:rPr>
          <w:rFonts w:hint="eastAsia" w:ascii="宋体" w:hAnsi="宋体"/>
          <w:b/>
          <w:color w:val="auto"/>
          <w:sz w:val="24"/>
          <w:szCs w:val="24"/>
          <w:lang w:val="zh-CN"/>
        </w:rPr>
        <w:t>国(境)外公务接待</w:t>
      </w:r>
      <w:r>
        <w:rPr>
          <w:rFonts w:hint="eastAsia" w:ascii="宋体" w:hAnsi="宋体"/>
          <w:b/>
          <w:color w:val="auto"/>
          <w:sz w:val="24"/>
          <w:szCs w:val="24"/>
          <w:lang w:val="en-US" w:eastAsia="zh-CN"/>
        </w:rPr>
        <w:t>0</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w:t>
      </w:r>
      <w:r>
        <w:rPr>
          <w:rFonts w:hint="eastAsia" w:ascii="宋体" w:hAnsi="宋体"/>
          <w:b/>
          <w:bCs/>
          <w:color w:val="auto"/>
          <w:sz w:val="24"/>
          <w:szCs w:val="24"/>
          <w:lang w:val="zh-CN" w:eastAsia="zh-CN"/>
        </w:rPr>
        <w:t>、机关运行经费支出情况说明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我单位2023年度无机关运行相关经费。</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十一、政府采购支出情况说明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本部门政府采购支出合计8.68万元,其中：政府采购货物支出8.68万元、政府采购工程支出0.00万元、政府采购服务支出0.00万元。授予中小企业合同金额8.68万元,占政府采购支出总额的100.00%,其中：授予小微企业合同金额8.68万元,占政府采购支出总额的100.00%。</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十二</w:t>
      </w:r>
      <w:r>
        <w:rPr>
          <w:rFonts w:hint="eastAsia" w:ascii="宋体" w:hAnsi="宋体"/>
          <w:b/>
          <w:bCs/>
          <w:color w:val="auto"/>
          <w:sz w:val="24"/>
          <w:szCs w:val="24"/>
          <w:lang w:val="zh-CN" w:eastAsia="zh-CN"/>
        </w:rPr>
        <w:t>、国有资产占用情况说明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十三、其他需要说明的情况</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由于决算公开表格中金额数值应当保留两位小数，公开数据为四舍五入计算结果，个别数据合计项与分项之和存在小数点后差额，特此说明。</w:t>
      </w:r>
    </w:p>
    <w:p>
      <w:pPr>
        <w:spacing w:before="100" w:beforeLines="0" w:after="100" w:afterLines="0"/>
        <w:jc w:val="left"/>
        <w:rPr>
          <w:rFonts w:hint="eastAsia" w:ascii="宋体" w:hAnsi="宋体"/>
          <w:color w:val="FF0000"/>
          <w:sz w:val="24"/>
          <w:szCs w:val="24"/>
          <w:lang w:val="zh-CN"/>
        </w:rPr>
      </w:pPr>
    </w:p>
    <w:p>
      <w:pPr>
        <w:spacing w:before="100" w:beforeLines="0" w:after="100" w:afterLines="0"/>
        <w:jc w:val="left"/>
        <w:rPr>
          <w:rFonts w:hint="eastAsia" w:ascii="宋体" w:hAnsi="宋体"/>
          <w:color w:val="auto"/>
          <w:sz w:val="24"/>
          <w:szCs w:val="24"/>
          <w:lang w:val="zh-CN"/>
        </w:rPr>
      </w:pPr>
    </w:p>
    <w:p>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第四部分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预算绩效情况说明</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一、预算绩效管理工作开展情况</w:t>
      </w:r>
    </w:p>
    <w:p>
      <w:pPr>
        <w:keepNext/>
        <w:keepLines/>
        <w:suppressLineNumbers/>
        <w:jc w:val="left"/>
        <w:rPr>
          <w:rFonts w:ascii="宋体" w:hAnsi="宋体"/>
          <w:sz w:val="24"/>
          <w:szCs w:val="24"/>
          <w:lang w:val="zh-CN"/>
        </w:rPr>
      </w:pPr>
      <w:r>
        <w:rPr>
          <w:rFonts w:hint="eastAsia" w:ascii="宋体" w:hAnsi="宋体"/>
          <w:kern w:val="0"/>
          <w:sz w:val="24"/>
          <w:szCs w:val="24"/>
        </w:rPr>
        <w:t>根据预算绩效管理要求,本部门对202</w:t>
      </w:r>
      <w:r>
        <w:rPr>
          <w:rFonts w:hint="eastAsia" w:ascii="宋体" w:hAnsi="宋体"/>
          <w:kern w:val="0"/>
          <w:sz w:val="24"/>
          <w:szCs w:val="24"/>
          <w:lang w:val="en-US" w:eastAsia="zh-CN"/>
        </w:rPr>
        <w:t>3</w:t>
      </w:r>
      <w:r>
        <w:rPr>
          <w:rFonts w:hint="eastAsia" w:ascii="宋体" w:hAnsi="宋体"/>
          <w:kern w:val="0"/>
          <w:sz w:val="24"/>
          <w:szCs w:val="24"/>
        </w:rPr>
        <w:t>年度一般公共预算项目支出全面开展绩效自评,从评价情况来看,从项目的经济性、效率性、有效性和可持续性等方面进行量化、具体分析，综合得分均超过</w:t>
      </w:r>
      <w:r>
        <w:rPr>
          <w:rFonts w:hint="eastAsia" w:ascii="宋体" w:hAnsi="宋体"/>
          <w:kern w:val="0"/>
          <w:sz w:val="24"/>
          <w:szCs w:val="24"/>
          <w:lang w:val="en-US" w:eastAsia="zh-CN"/>
        </w:rPr>
        <w:t>97.9</w:t>
      </w:r>
      <w:r>
        <w:rPr>
          <w:rFonts w:hint="eastAsia" w:ascii="宋体" w:hAnsi="宋体"/>
          <w:kern w:val="0"/>
          <w:sz w:val="24"/>
          <w:szCs w:val="24"/>
        </w:rPr>
        <w:t>分，评价结果为“优”。</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二、绩效自评结果</w:t>
      </w:r>
    </w:p>
    <w:p>
      <w:pPr>
        <w:keepNext/>
        <w:keepLines/>
        <w:suppressLineNumbers/>
        <w:jc w:val="left"/>
        <w:rPr>
          <w:rFonts w:ascii="宋体" w:hAnsi="宋体"/>
          <w:sz w:val="24"/>
          <w:szCs w:val="24"/>
          <w:lang w:val="zh-CN"/>
        </w:rPr>
      </w:pPr>
      <w:r>
        <w:rPr>
          <w:rFonts w:hint="eastAsia" w:ascii="宋体" w:hAnsi="宋体"/>
          <w:kern w:val="0"/>
          <w:sz w:val="24"/>
          <w:szCs w:val="24"/>
        </w:rPr>
        <w:t>我单位在202</w:t>
      </w:r>
      <w:r>
        <w:rPr>
          <w:rFonts w:hint="eastAsia" w:ascii="宋体" w:hAnsi="宋体"/>
          <w:kern w:val="0"/>
          <w:sz w:val="24"/>
          <w:szCs w:val="24"/>
          <w:lang w:val="en-US" w:eastAsia="zh-CN"/>
        </w:rPr>
        <w:t>3</w:t>
      </w:r>
      <w:r>
        <w:rPr>
          <w:rFonts w:hint="eastAsia" w:ascii="宋体" w:hAnsi="宋体"/>
          <w:kern w:val="0"/>
          <w:sz w:val="24"/>
          <w:szCs w:val="24"/>
        </w:rPr>
        <w:t>年度部门决算中反映部门整体支出绩效自评结果。部门整体支出绩效自评情况：根据年初设定的绩效目标,项目绩效自评得分</w:t>
      </w:r>
      <w:r>
        <w:rPr>
          <w:rFonts w:hint="eastAsia" w:ascii="宋体" w:hAnsi="宋体"/>
          <w:kern w:val="0"/>
          <w:sz w:val="24"/>
          <w:szCs w:val="24"/>
          <w:lang w:val="en-US" w:eastAsia="zh-CN"/>
        </w:rPr>
        <w:t>97.9</w:t>
      </w:r>
      <w:r>
        <w:rPr>
          <w:rFonts w:hint="eastAsia" w:ascii="宋体" w:hAnsi="宋体"/>
          <w:kern w:val="0"/>
          <w:sz w:val="24"/>
          <w:szCs w:val="24"/>
        </w:rPr>
        <w:t>分。全年预算数为</w:t>
      </w:r>
      <w:r>
        <w:rPr>
          <w:rFonts w:hint="eastAsia" w:ascii="宋体" w:hAnsi="宋体"/>
          <w:kern w:val="0"/>
          <w:sz w:val="24"/>
          <w:szCs w:val="24"/>
          <w:lang w:val="en-US" w:eastAsia="zh-CN"/>
        </w:rPr>
        <w:t>1144.82</w:t>
      </w:r>
      <w:r>
        <w:rPr>
          <w:rFonts w:hint="eastAsia" w:ascii="宋体" w:hAnsi="宋体"/>
          <w:kern w:val="0"/>
          <w:sz w:val="24"/>
          <w:szCs w:val="24"/>
        </w:rPr>
        <w:t>万元,执行数为</w:t>
      </w:r>
      <w:r>
        <w:rPr>
          <w:rFonts w:hint="eastAsia" w:ascii="宋体" w:hAnsi="宋体"/>
          <w:kern w:val="0"/>
          <w:sz w:val="24"/>
          <w:szCs w:val="24"/>
          <w:lang w:val="en-US" w:eastAsia="zh-CN"/>
        </w:rPr>
        <w:t>1144.82</w:t>
      </w:r>
      <w:r>
        <w:rPr>
          <w:rFonts w:hint="eastAsia" w:ascii="宋体" w:hAnsi="宋体"/>
          <w:kern w:val="0"/>
          <w:sz w:val="24"/>
          <w:szCs w:val="24"/>
        </w:rPr>
        <w:t>万元,完成预算的100%</w:t>
      </w:r>
      <w:r>
        <w:rPr>
          <w:rFonts w:hint="eastAsia" w:ascii="宋体" w:hAnsi="宋体"/>
          <w:kern w:val="0"/>
          <w:sz w:val="24"/>
          <w:szCs w:val="24"/>
          <w:lang w:eastAsia="zh-CN"/>
        </w:rPr>
        <w:t>。</w:t>
      </w:r>
      <w:r>
        <w:rPr>
          <w:rFonts w:hint="eastAsia" w:ascii="宋体" w:hAnsi="宋体"/>
          <w:kern w:val="0"/>
          <w:sz w:val="24"/>
          <w:szCs w:val="24"/>
        </w:rPr>
        <w:t>绩效目标完成情况：一是资金拨付和使用按照计划完成；二是合理安排支出，保障</w:t>
      </w:r>
      <w:r>
        <w:rPr>
          <w:rFonts w:hint="eastAsia" w:ascii="宋体" w:hAnsi="宋体"/>
          <w:kern w:val="0"/>
          <w:sz w:val="24"/>
          <w:szCs w:val="24"/>
          <w:lang w:eastAsia="zh-CN"/>
        </w:rPr>
        <w:t>学校</w:t>
      </w:r>
      <w:r>
        <w:rPr>
          <w:rFonts w:hint="eastAsia" w:ascii="宋体" w:hAnsi="宋体"/>
          <w:kern w:val="0"/>
          <w:sz w:val="24"/>
          <w:szCs w:val="24"/>
        </w:rPr>
        <w:t>工作正常进行。发现的主要问题及原因：台账管理欠规范。下一步改进措施：加强资金台账建设。</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三、部门绩效评价结果</w:t>
      </w:r>
    </w:p>
    <w:p>
      <w:pPr>
        <w:spacing w:before="100" w:after="100"/>
        <w:rPr>
          <w:rFonts w:hint="eastAsia" w:asciiTheme="minorEastAsia" w:hAnsiTheme="minorEastAsia" w:eastAsiaTheme="minorEastAsia" w:cstheme="minorEastAsia"/>
          <w:color w:val="auto"/>
          <w:sz w:val="24"/>
          <w:szCs w:val="24"/>
          <w:lang w:val="zh-CN"/>
        </w:rPr>
      </w:pPr>
      <w:r>
        <w:rPr>
          <w:rFonts w:hint="eastAsia" w:ascii="宋体" w:hAnsi="宋体"/>
          <w:sz w:val="24"/>
          <w:szCs w:val="24"/>
          <w:lang w:val="zh-CN"/>
        </w:rPr>
        <w:t>部门（单位）整体支出绩效自评表（见附件2）</w:t>
      </w:r>
    </w:p>
    <w:p>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第五部分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名词解释</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一、财政拨款收入</w:t>
      </w:r>
      <w:r>
        <w:rPr>
          <w:rFonts w:hint="eastAsia" w:ascii="宋体" w:hAnsi="宋体" w:eastAsia="宋体" w:cs="宋体"/>
          <w:color w:val="auto"/>
          <w:sz w:val="24"/>
          <w:szCs w:val="24"/>
          <w:lang w:val="zh-CN"/>
        </w:rPr>
        <w:t>：指本年度从同级财政部门取得的财政拨款,包括一般公共预算财政拨款、政府性基金预算财政拨款和国有资本经营预算财政拨款。</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二、事业收入</w:t>
      </w:r>
      <w:r>
        <w:rPr>
          <w:rFonts w:hint="eastAsia" w:ascii="宋体" w:hAnsi="宋体" w:eastAsia="宋体" w:cs="宋体"/>
          <w:color w:val="auto"/>
          <w:sz w:val="24"/>
          <w:szCs w:val="24"/>
          <w:lang w:val="zh-CN"/>
        </w:rPr>
        <w:t>：指事业单位开展专业业务活动及其辅助活动取得的收入。</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三、经营收入</w:t>
      </w:r>
      <w:r>
        <w:rPr>
          <w:rFonts w:hint="eastAsia" w:ascii="宋体" w:hAnsi="宋体" w:eastAsia="宋体" w:cs="宋体"/>
          <w:color w:val="auto"/>
          <w:sz w:val="24"/>
          <w:szCs w:val="24"/>
          <w:lang w:val="zh-CN"/>
        </w:rPr>
        <w:t>：指事业单位在专业业务活动及其辅助活动之外开展非独立核算经营活动取得的收入。</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四、其他收入</w:t>
      </w:r>
      <w:r>
        <w:rPr>
          <w:rFonts w:hint="eastAsia" w:ascii="宋体" w:hAnsi="宋体" w:eastAsia="宋体" w:cs="宋体"/>
          <w:color w:val="auto"/>
          <w:sz w:val="24"/>
          <w:szCs w:val="24"/>
          <w:lang w:val="zh-CN"/>
        </w:rPr>
        <w:t>：指除上述“财政拨款收入”“事业收入”、“经营收入”以外的收入。</w:t>
      </w:r>
    </w:p>
    <w:p>
      <w:pPr>
        <w:spacing w:before="100" w:beforeLines="0" w:after="100" w:afterLines="0"/>
        <w:jc w:val="both"/>
        <w:rPr>
          <w:rFonts w:hint="eastAsia" w:ascii="宋体" w:hAnsi="宋体" w:eastAsia="宋体" w:cs="宋体"/>
          <w:b w:val="0"/>
          <w:bCs w:val="0"/>
          <w:color w:val="auto"/>
          <w:sz w:val="24"/>
          <w:szCs w:val="24"/>
          <w:lang w:val="zh-CN"/>
        </w:rPr>
      </w:pPr>
      <w:r>
        <w:rPr>
          <w:rFonts w:hint="eastAsia" w:ascii="宋体" w:hAnsi="宋体" w:eastAsia="宋体" w:cs="宋体"/>
          <w:b/>
          <w:bCs/>
          <w:color w:val="auto"/>
          <w:sz w:val="24"/>
          <w:szCs w:val="24"/>
          <w:lang w:val="zh-CN"/>
        </w:rPr>
        <w:t>五、使用非财政拨款结余（含专用结余）：</w:t>
      </w:r>
      <w:r>
        <w:rPr>
          <w:rFonts w:hint="eastAsia" w:ascii="宋体" w:hAnsi="宋体" w:eastAsia="宋体" w:cs="宋体"/>
          <w:b w:val="0"/>
          <w:bCs w:val="0"/>
          <w:color w:val="auto"/>
          <w:sz w:val="24"/>
          <w:szCs w:val="24"/>
          <w:lang w:val="zh-CN"/>
        </w:rPr>
        <w:t>指事业单位按照预算管理要求使用非财政拨款结余弥补收支差额的金额，以及使用专用结余安排支出的金额。</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六、年初结转和结余</w:t>
      </w:r>
      <w:r>
        <w:rPr>
          <w:rFonts w:hint="eastAsia" w:ascii="宋体" w:hAnsi="宋体" w:eastAsia="宋体" w:cs="宋体"/>
          <w:color w:val="auto"/>
          <w:sz w:val="24"/>
          <w:szCs w:val="24"/>
          <w:lang w:val="zh-CN"/>
        </w:rPr>
        <w:t>：指单位上年结转至本年使用的基本支出结转、项目支出结转和结余、经营结余。</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七、结余分配</w:t>
      </w:r>
      <w:r>
        <w:rPr>
          <w:rFonts w:hint="eastAsia" w:ascii="宋体" w:hAnsi="宋体" w:eastAsia="宋体" w:cs="宋体"/>
          <w:color w:val="auto"/>
          <w:sz w:val="24"/>
          <w:szCs w:val="24"/>
          <w:lang w:val="zh-CN"/>
        </w:rPr>
        <w:t>：指单位按照会计制度规定缴纳的所得税、提取的专用结余以及转入非财政拨款结余的金额等。</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八、年末结转和结余</w:t>
      </w:r>
      <w:r>
        <w:rPr>
          <w:rFonts w:hint="eastAsia" w:ascii="宋体" w:hAnsi="宋体" w:eastAsia="宋体" w:cs="宋体"/>
          <w:color w:val="auto"/>
          <w:sz w:val="24"/>
          <w:szCs w:val="24"/>
          <w:lang w:val="zh-CN"/>
        </w:rPr>
        <w:t>：指单位按有关规定结转到下年的基本支出结转、项目支出结转和结余、经营结余。</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九、基本支出</w:t>
      </w:r>
      <w:r>
        <w:rPr>
          <w:rFonts w:hint="eastAsia" w:ascii="宋体" w:hAnsi="宋体" w:eastAsia="宋体" w:cs="宋体"/>
          <w:color w:val="auto"/>
          <w:sz w:val="24"/>
          <w:szCs w:val="24"/>
          <w:lang w:val="zh-CN"/>
        </w:rPr>
        <w:t>：指为保障机构正常运转、完成日常工作任务而发生的人员经费和公用经费。</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十、项目支出</w:t>
      </w:r>
      <w:r>
        <w:rPr>
          <w:rFonts w:hint="eastAsia" w:ascii="宋体" w:hAnsi="宋体" w:eastAsia="宋体" w:cs="宋体"/>
          <w:color w:val="auto"/>
          <w:sz w:val="24"/>
          <w:szCs w:val="24"/>
          <w:lang w:val="zh-CN"/>
        </w:rPr>
        <w:t>：指在基本支出之外为完成特定行政任务或事业发展目标所发生的支出。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十一、经营支出</w:t>
      </w:r>
      <w:r>
        <w:rPr>
          <w:rFonts w:hint="eastAsia" w:ascii="宋体" w:hAnsi="宋体" w:eastAsia="宋体" w:cs="宋体"/>
          <w:color w:val="auto"/>
          <w:sz w:val="24"/>
          <w:szCs w:val="24"/>
          <w:lang w:val="zh-CN"/>
        </w:rPr>
        <w:t>：指事业单位在专业业务活动及其辅助活动之外开展非独立核算经营活动发生的支出。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十二、“三公”经费</w:t>
      </w:r>
      <w:r>
        <w:rPr>
          <w:rFonts w:hint="eastAsia" w:ascii="宋体" w:hAnsi="宋体" w:eastAsia="宋体" w:cs="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十三、机关运行经费</w:t>
      </w:r>
      <w:r>
        <w:rPr>
          <w:rFonts w:hint="eastAsia" w:ascii="宋体" w:hAnsi="宋体" w:eastAsia="宋体" w:cs="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十四、社会保障和就业支出（类）行政事业单位养老支出（款）机关事业单位基本养老保险缴费支出（项）：</w:t>
      </w:r>
      <w:r>
        <w:rPr>
          <w:rFonts w:hint="eastAsia" w:ascii="宋体" w:hAnsi="宋体" w:eastAsia="宋体" w:cs="宋体"/>
          <w:color w:val="auto"/>
          <w:sz w:val="24"/>
          <w:szCs w:val="24"/>
          <w:lang w:val="zh-CN"/>
        </w:rPr>
        <w:t>反映机关事业单位实施养老保险制度由单位缴纳的基本养老保险支出。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（根据“收入决算表”和“支出决算表”，参照第十四项说明，对本部门所有涉及到的项级支出功能科目进行说明，注意不要重复，并调整段落序号）</w:t>
      </w:r>
    </w:p>
    <w:p>
      <w:pPr>
        <w:spacing w:before="100" w:beforeLines="0" w:after="100" w:afterLines="0"/>
        <w:ind w:firstLine="480" w:firstLineChars="200"/>
        <w:jc w:val="both"/>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w:t>
      </w:r>
    </w:p>
    <w:p>
      <w:pPr>
        <w:rPr>
          <w:szCs w:val="21"/>
        </w:rPr>
      </w:pPr>
      <w:r>
        <w:rPr>
          <w:rFonts w:hint="eastAsia"/>
          <w:szCs w:val="21"/>
        </w:rPr>
        <w:t xml:space="preserve">附件： </w:t>
      </w:r>
    </w:p>
    <w:p>
      <w:pPr>
        <w:rPr>
          <w:szCs w:val="21"/>
        </w:rPr>
      </w:pPr>
      <w:r>
        <w:rPr>
          <w:rFonts w:hint="eastAsia"/>
          <w:szCs w:val="21"/>
        </w:rPr>
        <w:t>1. 202</w:t>
      </w:r>
      <w:r>
        <w:rPr>
          <w:rFonts w:hint="eastAsia"/>
          <w:szCs w:val="21"/>
          <w:lang w:val="en-US" w:eastAsia="zh-CN"/>
        </w:rPr>
        <w:t>3</w:t>
      </w:r>
      <w:r>
        <w:rPr>
          <w:rFonts w:hint="eastAsia"/>
          <w:szCs w:val="21"/>
        </w:rPr>
        <w:t>年度部门决算公开表</w:t>
      </w:r>
    </w:p>
    <w:p>
      <w:pPr>
        <w:rPr>
          <w:szCs w:val="21"/>
        </w:rPr>
      </w:pPr>
      <w:r>
        <w:rPr>
          <w:rFonts w:hint="eastAsia"/>
          <w:szCs w:val="21"/>
        </w:rPr>
        <w:t>2.</w:t>
      </w:r>
      <w:r>
        <w:rPr>
          <w:szCs w:val="21"/>
        </w:rPr>
        <w:t>202</w:t>
      </w:r>
      <w:r>
        <w:rPr>
          <w:rFonts w:hint="eastAsia"/>
          <w:szCs w:val="21"/>
          <w:lang w:val="en-US" w:eastAsia="zh-CN"/>
        </w:rPr>
        <w:t>3</w:t>
      </w:r>
      <w:r>
        <w:rPr>
          <w:rFonts w:hint="eastAsia"/>
          <w:szCs w:val="21"/>
        </w:rPr>
        <w:t>部门（单位）整体支出绩效自评表、</w:t>
      </w:r>
      <w:r>
        <w:rPr>
          <w:rFonts w:hint="eastAsia"/>
          <w:szCs w:val="21"/>
          <w:lang w:eastAsia="zh-CN"/>
        </w:rPr>
        <w:t>自评报告及</w:t>
      </w:r>
      <w:r>
        <w:rPr>
          <w:rFonts w:hint="eastAsia"/>
          <w:szCs w:val="21"/>
        </w:rPr>
        <w:t>项目运行监控表</w:t>
      </w:r>
    </w:p>
    <w:p>
      <w:pPr>
        <w:spacing w:before="100" w:beforeLines="0" w:after="100" w:afterLines="0"/>
        <w:jc w:val="both"/>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singleLevel"/>
    <w:tmpl w:val="CF092B84"/>
    <w:lvl w:ilvl="0" w:tentative="0">
      <w:start w:val="2"/>
      <w:numFmt w:val="chineseCounting"/>
      <w:lvlText w:val="(%1)"/>
      <w:lvlJc w:val="left"/>
      <w:pPr>
        <w:tabs>
          <w:tab w:val="left" w:pos="312"/>
        </w:tabs>
      </w:pPr>
      <w:rPr>
        <w:rFonts w:hint="eastAsia"/>
      </w:rPr>
    </w:lvl>
  </w:abstractNum>
  <w:abstractNum w:abstractNumId="1">
    <w:nsid w:val="0053208E"/>
    <w:multiLevelType w:val="singleLevel"/>
    <w:tmpl w:val="0053208E"/>
    <w:lvl w:ilvl="0" w:tentative="0">
      <w:start w:val="2"/>
      <w:numFmt w:val="chineseCounting"/>
      <w:suff w:val="nothing"/>
      <w:lvlText w:val="（%1）"/>
      <w:lvlJc w:val="left"/>
      <w:rPr>
        <w:rFonts w:hint="eastAsia"/>
      </w:rPr>
    </w:lvl>
  </w:abstractNum>
  <w:abstractNum w:abstractNumId="2">
    <w:nsid w:val="59ADCABA"/>
    <w:multiLevelType w:val="singleLevel"/>
    <w:tmpl w:val="59ADCABA"/>
    <w:lvl w:ilvl="0" w:tentative="0">
      <w:start w:val="3"/>
      <w:numFmt w:val="decimal"/>
      <w:lvlText w:val="%1."/>
      <w:lvlJc w:val="left"/>
      <w:pPr>
        <w:tabs>
          <w:tab w:val="left" w:pos="312"/>
        </w:tabs>
      </w:pPr>
      <w:rPr>
        <w:rFonts w:hint="default"/>
        <w:color w:val="000000" w:themeColor="text1"/>
        <w14:textFill>
          <w14:solidFill>
            <w14:schemeClr w14:val="tx1"/>
          </w14:solidFill>
        </w14:textFill>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jMWYzNGU1NDkyOTlkZTY4MjZlZDgxMDJhMDQ2NmYifQ=="/>
  </w:docVars>
  <w:rsids>
    <w:rsidRoot w:val="00000000"/>
    <w:rsid w:val="23164F2A"/>
    <w:rsid w:val="2A015221"/>
    <w:rsid w:val="2D1E0666"/>
    <w:rsid w:val="61A32ED0"/>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0.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4.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6.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7.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9.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1d252d60-2ffc-437a-9cb2-d1f7e435f783}">
  <ds:schemaRefs/>
</ds:datastoreItem>
</file>

<file path=customXml/itemProps2.xml><?xml version="1.0" encoding="utf-8"?>
<ds:datastoreItem xmlns:ds="http://schemas.openxmlformats.org/officeDocument/2006/customXml" ds:itemID="{2a3b687a-5929-4a3d-9e4b-cf35802ca87c}">
  <ds:schemaRefs/>
</ds:datastoreItem>
</file>

<file path=customXml/itemProps3.xml><?xml version="1.0" encoding="utf-8"?>
<ds:datastoreItem xmlns:ds="http://schemas.openxmlformats.org/officeDocument/2006/customXml" ds:itemID="{6c387559-52c9-4a86-9c0b-3f1bd2759242}">
  <ds:schemaRefs/>
</ds:datastoreItem>
</file>

<file path=customXml/itemProps4.xml><?xml version="1.0" encoding="utf-8"?>
<ds:datastoreItem xmlns:ds="http://schemas.openxmlformats.org/officeDocument/2006/customXml" ds:itemID="{6164af89-03a5-44fc-b683-236d393abc4d}">
  <ds:schemaRefs/>
</ds:datastoreItem>
</file>

<file path=customXml/itemProps5.xml><?xml version="1.0" encoding="utf-8"?>
<ds:datastoreItem xmlns:ds="http://schemas.openxmlformats.org/officeDocument/2006/customXml" ds:itemID="{1debe8bf-78cf-4e7a-91d9-1ad7eb19b9e3}">
  <ds:schemaRefs/>
</ds:datastoreItem>
</file>

<file path=customXml/itemProps6.xml><?xml version="1.0" encoding="utf-8"?>
<ds:datastoreItem xmlns:ds="http://schemas.openxmlformats.org/officeDocument/2006/customXml" ds:itemID="{766729a1-4f67-4724-9dcf-5891d865b815}">
  <ds:schemaRefs/>
</ds:datastoreItem>
</file>

<file path=customXml/itemProps7.xml><?xml version="1.0" encoding="utf-8"?>
<ds:datastoreItem xmlns:ds="http://schemas.openxmlformats.org/officeDocument/2006/customXml" ds:itemID="{d772f09c-5b1b-46e3-b44e-c4ae8cb16554}">
  <ds:schemaRefs/>
</ds:datastoreItem>
</file>

<file path=customXml/itemProps8.xml><?xml version="1.0" encoding="utf-8"?>
<ds:datastoreItem xmlns:ds="http://schemas.openxmlformats.org/officeDocument/2006/customXml" ds:itemID="{e775c9af-7534-4d8d-82f4-d79c8fa32241}">
  <ds:schemaRefs/>
</ds:datastoreItem>
</file>

<file path=customXml/itemProps9.xml><?xml version="1.0" encoding="utf-8"?>
<ds:datastoreItem xmlns:ds="http://schemas.openxmlformats.org/officeDocument/2006/customXml" ds:itemID="{d9246b81-f1a2-4507-bdd7-fd38f8c55f58}">
  <ds:schemaRefs/>
</ds:datastoreItem>
</file>

<file path=docProps/app.xml><?xml version="1.0" encoding="utf-8"?>
<Properties xmlns="http://schemas.openxmlformats.org/officeDocument/2006/extended-properties" xmlns:vt="http://schemas.openxmlformats.org/officeDocument/2006/docPropsVTypes">
  <Template>Normal.dotm</Template>
  <Pages>8</Pages>
  <Words>7392</Words>
  <Characters>8582</Characters>
  <Lines>0</Lines>
  <Paragraphs>0</Paragraphs>
  <TotalTime>16</TotalTime>
  <ScaleCrop>false</ScaleCrop>
  <LinksUpToDate>false</LinksUpToDate>
  <CharactersWithSpaces>8590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Administrator</cp:lastModifiedBy>
  <cp:lastPrinted>2024-09-18T09:47:53Z</cp:lastPrinted>
  <dcterms:modified xsi:type="dcterms:W3CDTF">2024-09-18T10:03:57Z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E06D266F13EA4024808CEEADBAD91186_11</vt:lpwstr>
  </property>
</Properties>
</file>