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288" w:lineRule="auto"/>
        <w:jc w:val="center"/>
        <w:textAlignment w:val="auto"/>
        <w:rPr>
          <w:rFonts w:hint="eastAsia"/>
          <w:sz w:val="36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288" w:lineRule="auto"/>
        <w:jc w:val="center"/>
        <w:textAlignment w:val="auto"/>
        <w:rPr>
          <w:rFonts w:hint="eastAsia" w:ascii="新宋体" w:hAnsi="新宋体" w:eastAsia="新宋体" w:cs="新宋体"/>
          <w:b/>
          <w:bCs/>
          <w:sz w:val="48"/>
          <w:szCs w:val="56"/>
          <w:lang w:eastAsia="zh-CN"/>
        </w:rPr>
      </w:pPr>
      <w:r>
        <w:rPr>
          <w:rFonts w:hint="eastAsia" w:ascii="新宋体" w:hAnsi="新宋体" w:eastAsia="新宋体" w:cs="新宋体"/>
          <w:b/>
          <w:bCs/>
          <w:sz w:val="48"/>
          <w:szCs w:val="56"/>
          <w:lang w:eastAsia="zh-CN"/>
        </w:rPr>
        <w:t>悦乐镇人民政府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288" w:lineRule="auto"/>
        <w:jc w:val="center"/>
        <w:textAlignment w:val="auto"/>
        <w:rPr>
          <w:rFonts w:hint="eastAsia" w:ascii="新宋体" w:hAnsi="新宋体" w:eastAsia="新宋体" w:cs="新宋体"/>
          <w:b/>
          <w:bCs/>
          <w:sz w:val="48"/>
          <w:szCs w:val="56"/>
          <w:lang w:eastAsia="zh-CN"/>
        </w:rPr>
      </w:pPr>
      <w:r>
        <w:rPr>
          <w:rFonts w:hint="eastAsia" w:ascii="新宋体" w:hAnsi="新宋体" w:eastAsia="新宋体" w:cs="新宋体"/>
          <w:b/>
          <w:bCs/>
          <w:sz w:val="48"/>
          <w:szCs w:val="56"/>
          <w:lang w:val="en-US" w:eastAsia="zh-CN"/>
        </w:rPr>
        <w:t>2023年度</w:t>
      </w:r>
      <w:r>
        <w:rPr>
          <w:rFonts w:hint="eastAsia" w:ascii="新宋体" w:hAnsi="新宋体" w:eastAsia="新宋体" w:cs="新宋体"/>
          <w:b/>
          <w:bCs/>
          <w:sz w:val="48"/>
          <w:szCs w:val="56"/>
          <w:lang w:eastAsia="zh-CN"/>
        </w:rPr>
        <w:t>部门整体支出绩效自评报告</w:t>
      </w:r>
    </w:p>
    <w:p>
      <w:pPr>
        <w:keepNext w:val="0"/>
        <w:keepLines w:val="0"/>
        <w:pageBreakBefore w:val="0"/>
        <w:widowControl w:val="0"/>
        <w:numPr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288" w:lineRule="auto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bookmarkStart w:id="0" w:name="YS060101"/>
      <w:r>
        <w:rPr>
          <w:rFonts w:hint="eastAsia" w:ascii="黑体" w:hAnsi="黑体" w:eastAsia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/>
          <w:sz w:val="32"/>
          <w:szCs w:val="32"/>
          <w:lang w:eastAsia="zh-CN"/>
        </w:rPr>
        <w:t>部门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整体</w:t>
      </w:r>
      <w:r>
        <w:rPr>
          <w:rFonts w:hint="eastAsia" w:ascii="黑体" w:hAnsi="黑体" w:eastAsia="黑体"/>
          <w:sz w:val="32"/>
          <w:szCs w:val="32"/>
          <w:lang w:eastAsia="zh-CN"/>
        </w:rPr>
        <w:t>概况</w:t>
      </w:r>
      <w:bookmarkEnd w:id="0"/>
    </w:p>
    <w:p>
      <w:pPr>
        <w:keepNext w:val="0"/>
        <w:keepLines w:val="0"/>
        <w:pageBreakBefore w:val="0"/>
        <w:widowControl w:val="0"/>
        <w:numPr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288" w:lineRule="auto"/>
        <w:ind w:leftChars="200"/>
        <w:textAlignment w:val="auto"/>
        <w:rPr>
          <w:rFonts w:hint="eastAsia" w:ascii="楷体_GB2312" w:hAnsi="仿宋" w:eastAsia="楷体_GB2312"/>
          <w:b/>
          <w:sz w:val="32"/>
          <w:szCs w:val="32"/>
        </w:rPr>
      </w:pPr>
      <w:r>
        <w:rPr>
          <w:rFonts w:hint="eastAsia" w:ascii="楷体_GB2312" w:hAnsi="仿宋" w:eastAsia="楷体_GB2312"/>
          <w:b/>
          <w:sz w:val="32"/>
          <w:szCs w:val="32"/>
        </w:rPr>
        <w:t>（一）基本情况。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288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1．主要职能。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288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华池县悦乐镇人民政府</w:t>
      </w:r>
      <w:r>
        <w:rPr>
          <w:rFonts w:hint="default" w:ascii="仿宋_GB2312" w:hAnsi="仿宋" w:eastAsia="仿宋_GB2312"/>
          <w:sz w:val="28"/>
          <w:szCs w:val="28"/>
          <w:lang w:val="zh-CN"/>
        </w:rPr>
        <w:t>是华池县人民政府的职能部门。主要职责是: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）</w:t>
      </w:r>
      <w:r>
        <w:rPr>
          <w:rFonts w:hint="default" w:ascii="仿宋_GB2312" w:hAnsi="仿宋" w:eastAsia="仿宋_GB2312"/>
          <w:sz w:val="28"/>
          <w:szCs w:val="28"/>
          <w:lang w:val="zh-CN"/>
        </w:rPr>
        <w:t>贯彻执行党的路线、方针、政策和国家法律法规，贯彻执行上级行政机关的决议、命令及</w:t>
      </w:r>
      <w:r>
        <w:rPr>
          <w:rFonts w:hint="eastAsia" w:ascii="仿宋_GB2312" w:hAnsi="仿宋" w:eastAsia="仿宋_GB2312"/>
          <w:sz w:val="28"/>
          <w:szCs w:val="28"/>
          <w:lang w:val="zh-CN" w:eastAsia="zh-CN"/>
        </w:rPr>
        <w:t>镇</w:t>
      </w:r>
      <w:r>
        <w:rPr>
          <w:rFonts w:hint="default" w:ascii="仿宋_GB2312" w:hAnsi="仿宋" w:eastAsia="仿宋_GB2312"/>
          <w:sz w:val="28"/>
          <w:szCs w:val="28"/>
          <w:lang w:val="zh-CN"/>
        </w:rPr>
        <w:t>党委的决定，执行</w:t>
      </w:r>
      <w:r>
        <w:rPr>
          <w:rFonts w:hint="eastAsia" w:ascii="仿宋_GB2312" w:hAnsi="仿宋" w:eastAsia="仿宋_GB2312"/>
          <w:sz w:val="28"/>
          <w:szCs w:val="28"/>
          <w:lang w:val="zh-CN" w:eastAsia="zh-CN"/>
        </w:rPr>
        <w:t>镇</w:t>
      </w:r>
      <w:r>
        <w:rPr>
          <w:rFonts w:hint="default" w:ascii="仿宋_GB2312" w:hAnsi="仿宋" w:eastAsia="仿宋_GB2312"/>
          <w:sz w:val="28"/>
          <w:szCs w:val="28"/>
          <w:lang w:val="zh-CN"/>
        </w:rPr>
        <w:t>人民代表大会的决议。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）</w:t>
      </w:r>
      <w:r>
        <w:rPr>
          <w:rFonts w:hint="default" w:ascii="仿宋_GB2312" w:hAnsi="仿宋" w:eastAsia="仿宋_GB2312"/>
          <w:sz w:val="28"/>
          <w:szCs w:val="28"/>
          <w:lang w:val="zh-CN"/>
        </w:rPr>
        <w:t>对</w:t>
      </w:r>
      <w:r>
        <w:rPr>
          <w:rFonts w:hint="eastAsia" w:ascii="仿宋_GB2312" w:hAnsi="仿宋" w:eastAsia="仿宋_GB2312"/>
          <w:sz w:val="28"/>
          <w:szCs w:val="28"/>
          <w:lang w:val="zh-CN" w:eastAsia="zh-CN"/>
        </w:rPr>
        <w:t>镇</w:t>
      </w:r>
      <w:r>
        <w:rPr>
          <w:rFonts w:hint="default" w:ascii="仿宋_GB2312" w:hAnsi="仿宋" w:eastAsia="仿宋_GB2312"/>
          <w:sz w:val="28"/>
          <w:szCs w:val="28"/>
          <w:lang w:val="zh-CN"/>
        </w:rPr>
        <w:t>人民代表大会及其主席团和县政府负责并报告工作。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）</w:t>
      </w:r>
      <w:r>
        <w:rPr>
          <w:rFonts w:hint="default" w:ascii="仿宋_GB2312" w:hAnsi="仿宋" w:eastAsia="仿宋_GB2312"/>
          <w:sz w:val="28"/>
          <w:szCs w:val="28"/>
          <w:lang w:val="zh-CN"/>
        </w:rPr>
        <w:t>编制和执行</w:t>
      </w:r>
      <w:r>
        <w:rPr>
          <w:rFonts w:hint="eastAsia" w:ascii="仿宋_GB2312" w:hAnsi="仿宋" w:eastAsia="仿宋_GB2312"/>
          <w:sz w:val="28"/>
          <w:szCs w:val="28"/>
          <w:lang w:val="zh-CN" w:eastAsia="zh-CN"/>
        </w:rPr>
        <w:t>镇</w:t>
      </w:r>
      <w:r>
        <w:rPr>
          <w:rFonts w:hint="default" w:ascii="仿宋_GB2312" w:hAnsi="仿宋" w:eastAsia="仿宋_GB2312"/>
          <w:sz w:val="28"/>
          <w:szCs w:val="28"/>
          <w:lang w:val="zh-CN"/>
        </w:rPr>
        <w:t>国民经济和社会发展计划，编制并执行财政预算。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）</w:t>
      </w:r>
      <w:r>
        <w:rPr>
          <w:rFonts w:hint="default" w:ascii="仿宋_GB2312" w:hAnsi="仿宋" w:eastAsia="仿宋_GB2312"/>
          <w:sz w:val="28"/>
          <w:szCs w:val="28"/>
          <w:lang w:val="zh-CN"/>
        </w:rPr>
        <w:t>管理经济和各项社会事业的行政工作。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）</w:t>
      </w:r>
      <w:r>
        <w:rPr>
          <w:rFonts w:hint="default" w:ascii="仿宋_GB2312" w:hAnsi="仿宋" w:eastAsia="仿宋_GB2312"/>
          <w:sz w:val="28"/>
          <w:szCs w:val="28"/>
          <w:lang w:val="zh-CN"/>
        </w:rPr>
        <w:t>负责</w:t>
      </w:r>
      <w:r>
        <w:rPr>
          <w:rFonts w:hint="eastAsia" w:ascii="仿宋_GB2312" w:hAnsi="仿宋" w:eastAsia="仿宋_GB2312"/>
          <w:sz w:val="28"/>
          <w:szCs w:val="28"/>
          <w:lang w:val="zh-CN" w:eastAsia="zh-CN"/>
        </w:rPr>
        <w:t>镇</w:t>
      </w:r>
      <w:r>
        <w:rPr>
          <w:rFonts w:hint="default" w:ascii="仿宋_GB2312" w:hAnsi="仿宋" w:eastAsia="仿宋_GB2312"/>
          <w:sz w:val="28"/>
          <w:szCs w:val="28"/>
          <w:lang w:val="zh-CN"/>
        </w:rPr>
        <w:t>行政执法工作，维护社会秩序，保护公民人身、民主、财产等合法权利，保护各种经济组织的合法权益。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）</w:t>
      </w:r>
      <w:r>
        <w:rPr>
          <w:rFonts w:hint="default" w:ascii="仿宋_GB2312" w:hAnsi="仿宋" w:eastAsia="仿宋_GB2312"/>
          <w:sz w:val="28"/>
          <w:szCs w:val="28"/>
          <w:lang w:val="zh-CN"/>
        </w:rPr>
        <w:t>支持和帮助村民委员会工作。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）</w:t>
      </w:r>
      <w:r>
        <w:rPr>
          <w:rFonts w:hint="default" w:ascii="仿宋_GB2312" w:hAnsi="仿宋" w:eastAsia="仿宋_GB2312"/>
          <w:sz w:val="28"/>
          <w:szCs w:val="28"/>
          <w:lang w:val="zh-CN"/>
        </w:rPr>
        <w:t>法律规定的其他职责。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bidi w:val="0"/>
        <w:adjustRightInd/>
        <w:snapToGrid w:val="0"/>
        <w:spacing w:line="288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机构情况，包括当年变动情况及原因。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firstLine="560" w:firstLineChars="200"/>
        <w:textAlignment w:val="auto"/>
        <w:rPr>
          <w:rFonts w:hint="default" w:ascii="仿宋_GB2312" w:hAnsi="仿宋" w:eastAsia="仿宋_GB2312"/>
          <w:sz w:val="28"/>
          <w:szCs w:val="28"/>
          <w:lang w:val="zh-CN"/>
        </w:rPr>
      </w:pPr>
      <w:r>
        <w:rPr>
          <w:rFonts w:hint="default" w:ascii="仿宋_GB2312" w:hAnsi="仿宋" w:eastAsia="仿宋_GB2312"/>
          <w:sz w:val="28"/>
          <w:szCs w:val="28"/>
          <w:lang w:val="zh-CN"/>
        </w:rPr>
        <w:t>华池县悦乐镇人民政府内设机构4个股室（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分别为党政综合办公室、党建工作办公室、经济发展和社会事务办公室、社会治理和应急管理办公室）。</w:t>
      </w:r>
      <w:r>
        <w:rPr>
          <w:rFonts w:hint="default" w:ascii="仿宋_GB2312" w:hAnsi="仿宋" w:eastAsia="仿宋_GB2312"/>
          <w:sz w:val="28"/>
          <w:szCs w:val="28"/>
          <w:lang w:val="zh-CN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firstLine="560" w:firstLineChars="200"/>
        <w:textAlignment w:val="auto"/>
        <w:rPr>
          <w:rFonts w:hint="default" w:ascii="仿宋_GB2312" w:hAnsi="仿宋" w:eastAsia="仿宋_GB2312"/>
          <w:sz w:val="28"/>
          <w:szCs w:val="28"/>
          <w:lang w:val="zh-CN"/>
        </w:rPr>
      </w:pPr>
      <w:r>
        <w:rPr>
          <w:rFonts w:hint="default" w:ascii="仿宋_GB2312" w:hAnsi="仿宋" w:eastAsia="仿宋_GB2312"/>
          <w:sz w:val="28"/>
          <w:szCs w:val="28"/>
          <w:lang w:val="zh-CN"/>
        </w:rPr>
        <w:t>并设置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个事业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中心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机构，分别为：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农村综合服务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中心、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政务便民服务中心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、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公共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事务服务中心、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社会治安综合治理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中心、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综合行政执法队。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288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（1）独立编制机构。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288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sz w:val="28"/>
          <w:szCs w:val="28"/>
        </w:rPr>
        <w:t>2023年，独立编制机构共</w:t>
      </w:r>
      <w:r>
        <w:rPr>
          <w:rFonts w:hint="eastAsia" w:ascii="仿宋_GB2312" w:eastAsia="仿宋_GB2312"/>
          <w:sz w:val="28"/>
          <w:szCs w:val="28"/>
          <w:u w:val="single"/>
        </w:rPr>
        <w:t>6</w:t>
      </w:r>
      <w:r>
        <w:rPr>
          <w:rFonts w:hint="eastAsia" w:ascii="仿宋_GB2312" w:hAnsi="仿宋" w:eastAsia="仿宋_GB2312"/>
          <w:sz w:val="28"/>
          <w:szCs w:val="28"/>
        </w:rPr>
        <w:t>个，较上年</w:t>
      </w:r>
      <w:r>
        <w:rPr>
          <w:rFonts w:ascii="仿宋_GB2312" w:eastAsia="仿宋_GB2312" w:cs="仿宋_GB2312"/>
          <w:sz w:val="28"/>
          <w:szCs w:val="28"/>
          <w:highlight w:val="none"/>
          <w:lang w:bidi="zh-HK"/>
        </w:rPr>
        <w:t>持平</w:t>
      </w:r>
      <w:r>
        <w:rPr>
          <w:rFonts w:hint="eastAsia" w:ascii="仿宋_GB2312" w:hAnsi="仿宋" w:eastAsia="仿宋_GB2312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288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sz w:val="28"/>
          <w:szCs w:val="28"/>
          <w:highlight w:val="none"/>
        </w:rPr>
        <w:t>（2）独立核算机构。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288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sz w:val="28"/>
          <w:szCs w:val="28"/>
          <w:highlight w:val="none"/>
        </w:rPr>
        <w:t>2023年，独立核算机构共</w:t>
      </w:r>
      <w:r>
        <w:rPr>
          <w:rFonts w:hint="eastAsia" w:ascii="仿宋_GB2312" w:eastAsia="仿宋_GB2312"/>
          <w:sz w:val="28"/>
          <w:szCs w:val="28"/>
          <w:highlight w:val="none"/>
          <w:u w:val="single"/>
        </w:rPr>
        <w:t>1</w:t>
      </w:r>
      <w:r>
        <w:rPr>
          <w:rFonts w:hint="eastAsia" w:ascii="仿宋_GB2312" w:hAnsi="仿宋" w:eastAsia="仿宋_GB2312"/>
          <w:sz w:val="28"/>
          <w:szCs w:val="28"/>
          <w:highlight w:val="none"/>
        </w:rPr>
        <w:t>个，较上年</w:t>
      </w:r>
      <w:r>
        <w:rPr>
          <w:rFonts w:ascii="仿宋_GB2312" w:eastAsia="仿宋_GB2312" w:cs="仿宋_GB2312"/>
          <w:sz w:val="28"/>
          <w:szCs w:val="28"/>
          <w:highlight w:val="none"/>
          <w:lang w:bidi="zh-HK"/>
        </w:rPr>
        <w:t>持平</w:t>
      </w:r>
      <w:r>
        <w:rPr>
          <w:rFonts w:hint="eastAsia" w:ascii="仿宋_GB2312" w:hAnsi="仿宋" w:eastAsia="仿宋_GB2312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288" w:lineRule="auto"/>
        <w:ind w:firstLine="560" w:firstLineChars="200"/>
        <w:textAlignment w:val="auto"/>
        <w:rPr>
          <w:rFonts w:ascii="仿宋_GB2312" w:hAnsi="仿宋" w:eastAsia="仿宋_GB2312"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sz w:val="28"/>
          <w:szCs w:val="28"/>
          <w:highlight w:val="none"/>
        </w:rPr>
        <w:t>3．人员情况，包括当年变动情况及原因。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288" w:lineRule="auto"/>
        <w:ind w:firstLine="560" w:firstLineChars="200"/>
        <w:textAlignment w:val="auto"/>
        <w:rPr>
          <w:rFonts w:hint="eastAsia" w:eastAsia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bidi="zh-HK"/>
        </w:rPr>
        <w:t>2023</w:t>
      </w:r>
      <w:r>
        <w:rPr>
          <w:rFonts w:ascii="仿宋_GB2312" w:eastAsia="仿宋_GB2312" w:cs="仿宋_GB2312"/>
          <w:sz w:val="28"/>
          <w:szCs w:val="28"/>
          <w:highlight w:val="none"/>
          <w:lang w:bidi="zh-HK"/>
        </w:rPr>
        <w:t>年年末实有人数80人</w:t>
      </w:r>
      <w:r>
        <w:rPr>
          <w:rFonts w:ascii="仿宋_GB2312" w:eastAsia="仿宋_GB2312"/>
          <w:sz w:val="28"/>
          <w:szCs w:val="28"/>
          <w:highlight w:val="none"/>
        </w:rPr>
        <w:t>（不含遗属优抚人员）</w:t>
      </w:r>
      <w:r>
        <w:rPr>
          <w:rFonts w:hint="eastAsia" w:ascii="仿宋_GB2312" w:eastAsia="仿宋_GB2312"/>
          <w:sz w:val="28"/>
          <w:szCs w:val="28"/>
          <w:highlight w:val="none"/>
        </w:rPr>
        <w:t>，</w:t>
      </w:r>
      <w:r>
        <w:rPr>
          <w:rFonts w:ascii="仿宋_GB2312" w:eastAsia="仿宋_GB2312" w:cs="仿宋_GB2312"/>
          <w:sz w:val="28"/>
          <w:szCs w:val="28"/>
          <w:highlight w:val="none"/>
          <w:lang w:bidi="zh-HK"/>
        </w:rPr>
        <w:t>与2022年</w:t>
      </w:r>
      <w:r>
        <w:rPr>
          <w:rFonts w:hint="eastAsia" w:ascii="仿宋_GB2312" w:eastAsia="仿宋_GB2312" w:cs="仿宋_GB2312"/>
          <w:sz w:val="28"/>
          <w:szCs w:val="28"/>
          <w:highlight w:val="none"/>
          <w:lang w:bidi="zh-HK"/>
        </w:rPr>
        <w:t>度</w:t>
      </w:r>
      <w:r>
        <w:rPr>
          <w:rFonts w:ascii="仿宋_GB2312" w:eastAsia="仿宋_GB2312" w:cs="仿宋_GB2312"/>
          <w:sz w:val="28"/>
          <w:szCs w:val="28"/>
          <w:highlight w:val="none"/>
          <w:lang w:bidi="zh-HK"/>
        </w:rPr>
        <w:t>相比，持平</w:t>
      </w:r>
      <w:r>
        <w:rPr>
          <w:rFonts w:hint="eastAsia" w:ascii="仿宋_GB2312" w:eastAsia="仿宋_GB2312" w:cs="仿宋_GB2312"/>
          <w:sz w:val="28"/>
          <w:szCs w:val="28"/>
          <w:highlight w:val="none"/>
          <w:lang w:eastAsia="zh-CN" w:bidi="zh-HK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288" w:lineRule="auto"/>
        <w:ind w:firstLine="643" w:firstLineChars="200"/>
        <w:textAlignment w:val="auto"/>
        <w:rPr>
          <w:rFonts w:hint="eastAsia" w:ascii="楷体_GB2312" w:hAnsi="仿宋" w:eastAsia="楷体_GB2312"/>
          <w:b/>
          <w:sz w:val="32"/>
          <w:szCs w:val="32"/>
        </w:rPr>
      </w:pPr>
      <w:r>
        <w:rPr>
          <w:rFonts w:hint="eastAsia" w:ascii="楷体_GB2312" w:hAnsi="仿宋" w:eastAsia="楷体_GB2312"/>
          <w:b/>
          <w:sz w:val="32"/>
          <w:szCs w:val="32"/>
        </w:rPr>
        <w:t>（二）当年</w:t>
      </w:r>
      <w:r>
        <w:rPr>
          <w:rFonts w:hint="eastAsia" w:ascii="楷体_GB2312" w:hAnsi="仿宋" w:eastAsia="楷体_GB2312"/>
          <w:b/>
          <w:sz w:val="32"/>
          <w:szCs w:val="32"/>
          <w:lang w:eastAsia="zh-CN"/>
        </w:rPr>
        <w:t>完成</w:t>
      </w:r>
      <w:r>
        <w:rPr>
          <w:rFonts w:hint="eastAsia" w:ascii="楷体_GB2312" w:hAnsi="仿宋" w:eastAsia="楷体_GB2312"/>
          <w:b/>
          <w:sz w:val="32"/>
          <w:szCs w:val="32"/>
        </w:rPr>
        <w:t>主要</w:t>
      </w:r>
      <w:r>
        <w:rPr>
          <w:rFonts w:hint="eastAsia" w:ascii="楷体_GB2312" w:hAnsi="仿宋" w:eastAsia="楷体_GB2312"/>
          <w:b/>
          <w:sz w:val="32"/>
          <w:szCs w:val="32"/>
          <w:lang w:eastAsia="zh-CN"/>
        </w:rPr>
        <w:t>目标及</w:t>
      </w:r>
      <w:r>
        <w:rPr>
          <w:rFonts w:hint="eastAsia" w:ascii="楷体_GB2312" w:hAnsi="仿宋" w:eastAsia="楷体_GB2312"/>
          <w:b/>
          <w:sz w:val="32"/>
          <w:szCs w:val="32"/>
        </w:rPr>
        <w:t>事业成效。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刚刚过去的2023年，是全镇经济发展克服多重困难、取得重要突破、发生重大变化的一年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28"/>
          <w:szCs w:val="28"/>
        </w:rPr>
        <w:t>镇党委、政府面对经济下行的困难挑战，精准把握镇情，及时调整思路，科学沉着应对，聚焦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促增长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强县域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的目标，在顺势、借势、用势、拓势中发力突破，全镇经济社会发展呈现出稳中有进、质效提升、动能聚集的良好势头。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643" w:firstLineChars="200"/>
        <w:textAlignment w:val="auto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这一年，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我们聚焦经济发展，项目建设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eastAsia="zh-CN"/>
        </w:rPr>
        <w:t>支撑有力。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全面完成G244打庆高速、S506公路、第二污水处理厂、绿源石油伴生气产业链、固废资源化利用产业园和山东安辰电力装备生产等12个重大项目征地拆迁和协调配合工作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；投资345.89万元，完成李培福（旧居）“面向群众”教育基地、刘巧儿（旧居）普法教育基地、上堡子村知青点改造提升等建设项目；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完成招商引资任务1亿元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为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强县域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贡献了悦乐力量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这一年，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我们</w:t>
      </w:r>
      <w:r>
        <w:rPr>
          <w:rFonts w:hint="default" w:ascii="Times New Roman" w:hAnsi="Times New Roman" w:eastAsia="楷体_GB2312" w:cs="Times New Roman"/>
          <w:b/>
          <w:bCs/>
          <w:i w:val="0"/>
          <w:iCs w:val="0"/>
          <w:caps w:val="0"/>
          <w:color w:val="000000"/>
          <w:spacing w:val="0"/>
          <w:w w:val="100"/>
          <w:sz w:val="32"/>
          <w:szCs w:val="32"/>
          <w:shd w:val="clear" w:color="auto" w:fill="FFFFFF"/>
          <w:lang w:val="en-US" w:eastAsia="zh-CN"/>
        </w:rPr>
        <w:t>聚焦民生保障，为民服务润暖民心。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牢固树立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以民为本、为民服务、为民解困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宗旨，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发放各类社会救助资金1024.73万元；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28"/>
          <w:szCs w:val="28"/>
          <w:highlight w:val="none"/>
          <w:u w:val="none" w:color="auto"/>
          <w:lang w:val="en-US" w:eastAsia="zh-CN"/>
        </w:rPr>
        <w:t>认真贯彻落实“结对帮扶·爱心甘肃”工程建设要求，195名结对干部对241名关爱对象常态化开展“一对一”帮扶，累计开展联系交流1612次，走访探视1125人（次），落实政策1177件，帮助解决困难88件，帮办实事142件，资助资金5.42万元；全镇城乡居民医疗保险和养老保险参保率分别达到98.23%和95.41%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这一年，我们</w:t>
      </w:r>
      <w:r>
        <w:rPr>
          <w:rFonts w:hint="default" w:ascii="Times New Roman" w:hAnsi="Times New Roman" w:eastAsia="楷体_GB2312" w:cs="Times New Roman"/>
          <w:b/>
          <w:bCs/>
          <w:i w:val="0"/>
          <w:iCs w:val="0"/>
          <w:caps w:val="0"/>
          <w:color w:val="000000"/>
          <w:spacing w:val="0"/>
          <w:w w:val="100"/>
          <w:sz w:val="32"/>
          <w:szCs w:val="32"/>
          <w:shd w:val="clear" w:color="auto" w:fill="FFFFFF"/>
          <w:lang w:eastAsia="zh-CN"/>
        </w:rPr>
        <w:t>聚焦动态监测，脱贫成果持续巩固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pacing w:val="0"/>
          <w:w w:val="100"/>
          <w:sz w:val="28"/>
          <w:szCs w:val="28"/>
          <w:lang w:val="en-US" w:eastAsia="zh-CN"/>
        </w:rPr>
        <w:t>结合</w:t>
      </w:r>
      <w:r>
        <w:rPr>
          <w:rFonts w:hint="eastAsia" w:ascii="Times New Roman" w:hAnsi="Times New Roman" w:eastAsia="仿宋_GB2312" w:cs="Times New Roman"/>
          <w:spacing w:val="0"/>
          <w:w w:val="100"/>
          <w:sz w:val="28"/>
          <w:szCs w:val="28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spacing w:val="0"/>
          <w:w w:val="100"/>
          <w:sz w:val="28"/>
          <w:szCs w:val="28"/>
          <w:lang w:val="en-US" w:eastAsia="zh-CN"/>
        </w:rPr>
        <w:t>六访六查十提升</w:t>
      </w:r>
      <w:r>
        <w:rPr>
          <w:rFonts w:hint="eastAsia" w:ascii="Times New Roman" w:hAnsi="Times New Roman" w:eastAsia="仿宋_GB2312" w:cs="Times New Roman"/>
          <w:spacing w:val="0"/>
          <w:w w:val="100"/>
          <w:sz w:val="28"/>
          <w:szCs w:val="28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pacing w:val="0"/>
          <w:w w:val="100"/>
          <w:sz w:val="28"/>
          <w:szCs w:val="28"/>
          <w:lang w:val="en-US" w:eastAsia="zh-CN"/>
        </w:rPr>
        <w:t>、第二轮集中排查等常态化开展入户走访，大力推广</w:t>
      </w:r>
      <w:r>
        <w:rPr>
          <w:rStyle w:val="6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28"/>
          <w:szCs w:val="28"/>
          <w:lang w:val="en-US" w:eastAsia="zh-CN" w:bidi="ar-SA"/>
        </w:rPr>
        <w:t>使用</w:t>
      </w: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28"/>
          <w:szCs w:val="28"/>
          <w:lang w:val="en-US" w:eastAsia="zh-CN" w:bidi="ar-SA"/>
        </w:rPr>
        <w:t>“</w:t>
      </w:r>
      <w:r>
        <w:rPr>
          <w:rStyle w:val="6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28"/>
          <w:szCs w:val="28"/>
          <w:lang w:val="en-US" w:eastAsia="zh-CN" w:bidi="ar-SA"/>
        </w:rPr>
        <w:t>一键报贫</w:t>
      </w: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28"/>
          <w:szCs w:val="28"/>
          <w:lang w:val="en-US" w:eastAsia="zh-CN" w:bidi="ar-SA"/>
        </w:rPr>
        <w:t>”</w:t>
      </w:r>
      <w:r>
        <w:rPr>
          <w:rStyle w:val="6"/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kern w:val="2"/>
          <w:sz w:val="28"/>
          <w:szCs w:val="28"/>
          <w:lang w:val="en-US" w:eastAsia="zh-CN" w:bidi="ar-SA"/>
        </w:rPr>
        <w:t>APP，持续</w:t>
      </w:r>
      <w:r>
        <w:rPr>
          <w:rStyle w:val="6"/>
          <w:rFonts w:hint="default" w:ascii="Times New Roman" w:hAnsi="Times New Roman" w:eastAsia="仿宋_GB2312" w:cs="Times New Roman"/>
          <w:color w:val="auto"/>
          <w:spacing w:val="0"/>
          <w:w w:val="100"/>
          <w:sz w:val="28"/>
          <w:szCs w:val="28"/>
          <w:lang w:val="en-US" w:eastAsia="zh-CN"/>
        </w:rPr>
        <w:t>巩固提升</w:t>
      </w:r>
      <w:r>
        <w:rPr>
          <w:rStyle w:val="6"/>
          <w:rFonts w:hint="eastAsia" w:ascii="Times New Roman" w:hAnsi="Times New Roman" w:eastAsia="仿宋_GB2312" w:cs="Times New Roman"/>
          <w:color w:val="auto"/>
          <w:spacing w:val="0"/>
          <w:w w:val="100"/>
          <w:sz w:val="28"/>
          <w:szCs w:val="28"/>
          <w:lang w:val="en-US" w:eastAsia="zh-CN"/>
        </w:rPr>
        <w:t>“</w:t>
      </w:r>
      <w:r>
        <w:rPr>
          <w:rStyle w:val="6"/>
          <w:rFonts w:hint="default" w:ascii="Times New Roman" w:hAnsi="Times New Roman" w:eastAsia="仿宋_GB2312" w:cs="Times New Roman"/>
          <w:color w:val="auto"/>
          <w:spacing w:val="0"/>
          <w:w w:val="100"/>
          <w:sz w:val="28"/>
          <w:szCs w:val="28"/>
          <w:lang w:val="en-US" w:eastAsia="zh-CN"/>
        </w:rPr>
        <w:t>三保障</w:t>
      </w:r>
      <w:r>
        <w:rPr>
          <w:rStyle w:val="6"/>
          <w:rFonts w:hint="eastAsia" w:ascii="Times New Roman" w:hAnsi="Times New Roman" w:eastAsia="仿宋_GB2312" w:cs="Times New Roman"/>
          <w:color w:val="auto"/>
          <w:spacing w:val="0"/>
          <w:w w:val="100"/>
          <w:sz w:val="28"/>
          <w:szCs w:val="28"/>
          <w:lang w:val="en-US" w:eastAsia="zh-CN"/>
        </w:rPr>
        <w:t>”</w:t>
      </w:r>
      <w:r>
        <w:rPr>
          <w:rStyle w:val="6"/>
          <w:rFonts w:hint="default" w:ascii="Times New Roman" w:hAnsi="Times New Roman" w:eastAsia="仿宋_GB2312" w:cs="Times New Roman"/>
          <w:color w:val="auto"/>
          <w:spacing w:val="0"/>
          <w:w w:val="100"/>
          <w:sz w:val="28"/>
          <w:szCs w:val="28"/>
          <w:lang w:val="en-US" w:eastAsia="zh-CN"/>
        </w:rPr>
        <w:t>和饮水安全水平</w:t>
      </w:r>
      <w:r>
        <w:rPr>
          <w:rStyle w:val="6"/>
          <w:rFonts w:hint="eastAsia" w:ascii="Times New Roman" w:hAnsi="Times New Roman" w:eastAsia="仿宋_GB2312" w:cs="Times New Roman"/>
          <w:color w:val="auto"/>
          <w:spacing w:val="0"/>
          <w:w w:val="100"/>
          <w:sz w:val="28"/>
          <w:szCs w:val="28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全年新识别纳入监测对象11户48人；2021年至今国家、省、市各类督查暗访反馈问题分类梳理，举一反三，逐项对照检验整改成效，共认领107条问题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已全面完成闭环整改。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288" w:lineRule="auto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这一年，我们</w:t>
      </w:r>
      <w:r>
        <w:rPr>
          <w:rFonts w:hint="default" w:ascii="Times New Roman" w:hAnsi="Times New Roman" w:eastAsia="楷体_GB2312" w:cs="Times New Roman"/>
          <w:b/>
          <w:bCs/>
          <w:i w:val="0"/>
          <w:iCs w:val="0"/>
          <w:caps w:val="0"/>
          <w:color w:val="000000"/>
          <w:spacing w:val="0"/>
          <w:w w:val="100"/>
          <w:sz w:val="32"/>
          <w:szCs w:val="32"/>
          <w:shd w:val="clear" w:color="auto" w:fill="FFFFFF"/>
          <w:lang w:val="en-US" w:eastAsia="zh-CN"/>
        </w:rPr>
        <w:t>聚焦乡村建设，宜居家园更加舒适。</w:t>
      </w:r>
      <w:r>
        <w:rPr>
          <w:rFonts w:hint="default" w:ascii="Times New Roman" w:hAnsi="Times New Roman" w:eastAsia="仿宋_GB2312" w:cs="Times New Roman"/>
          <w:spacing w:val="0"/>
          <w:w w:val="100"/>
          <w:kern w:val="2"/>
          <w:sz w:val="28"/>
          <w:szCs w:val="28"/>
          <w:lang w:val="en-US" w:eastAsia="zh-CN" w:bidi="ar-SA"/>
        </w:rPr>
        <w:t>完成新堡、上堡子、温台村</w:t>
      </w:r>
      <w:r>
        <w:rPr>
          <w:rFonts w:hint="eastAsia" w:ascii="Times New Roman" w:hAnsi="Times New Roman" w:eastAsia="仿宋_GB2312" w:cs="Times New Roman"/>
          <w:spacing w:val="0"/>
          <w:w w:val="100"/>
          <w:kern w:val="2"/>
          <w:sz w:val="28"/>
          <w:szCs w:val="28"/>
          <w:lang w:val="en-US" w:eastAsia="zh-CN" w:bidi="ar-SA"/>
        </w:rPr>
        <w:t>的</w:t>
      </w:r>
      <w:r>
        <w:rPr>
          <w:rFonts w:hint="default" w:ascii="Times New Roman" w:hAnsi="Times New Roman" w:eastAsia="仿宋_GB2312" w:cs="Times New Roman"/>
          <w:spacing w:val="0"/>
          <w:w w:val="100"/>
          <w:kern w:val="2"/>
          <w:sz w:val="28"/>
          <w:szCs w:val="28"/>
          <w:lang w:val="en-US" w:eastAsia="zh-CN" w:bidi="ar-SA"/>
        </w:rPr>
        <w:t>市、县级乡村振兴示范村建设</w:t>
      </w:r>
      <w:r>
        <w:rPr>
          <w:rFonts w:hint="eastAsia" w:ascii="Times New Roman" w:hAnsi="Times New Roman" w:eastAsia="仿宋_GB2312" w:cs="Times New Roman"/>
          <w:spacing w:val="0"/>
          <w:w w:val="100"/>
          <w:kern w:val="2"/>
          <w:sz w:val="28"/>
          <w:szCs w:val="28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spacing w:val="0"/>
          <w:w w:val="100"/>
          <w:kern w:val="2"/>
          <w:sz w:val="28"/>
          <w:szCs w:val="28"/>
          <w:lang w:val="en-US" w:eastAsia="zh-CN" w:bidi="ar-SA"/>
        </w:rPr>
        <w:t>新建杜河村便民服务中心，完成</w:t>
      </w:r>
      <w:r>
        <w:rPr>
          <w:rFonts w:hint="eastAsia" w:ascii="Times New Roman" w:hAnsi="Times New Roman" w:eastAsia="仿宋_GB2312" w:cs="Times New Roman"/>
          <w:spacing w:val="0"/>
          <w:w w:val="100"/>
          <w:kern w:val="2"/>
          <w:sz w:val="28"/>
          <w:szCs w:val="28"/>
          <w:lang w:val="en-US" w:eastAsia="zh-CN" w:bidi="ar-SA"/>
        </w:rPr>
        <w:t>“</w:t>
      </w:r>
      <w:r>
        <w:rPr>
          <w:rFonts w:hint="default" w:ascii="Times New Roman" w:hAnsi="Times New Roman" w:eastAsia="仿宋_GB2312" w:cs="Times New Roman"/>
          <w:spacing w:val="0"/>
          <w:w w:val="100"/>
          <w:kern w:val="2"/>
          <w:sz w:val="28"/>
          <w:szCs w:val="28"/>
          <w:lang w:val="en-US" w:eastAsia="zh-CN" w:bidi="ar-SA"/>
        </w:rPr>
        <w:t>543</w:t>
      </w:r>
      <w:r>
        <w:rPr>
          <w:rFonts w:hint="eastAsia" w:ascii="Times New Roman" w:hAnsi="Times New Roman" w:eastAsia="仿宋_GB2312" w:cs="Times New Roman"/>
          <w:spacing w:val="0"/>
          <w:w w:val="100"/>
          <w:kern w:val="2"/>
          <w:sz w:val="28"/>
          <w:szCs w:val="28"/>
          <w:lang w:val="en-US" w:eastAsia="zh-CN" w:bidi="ar-SA"/>
        </w:rPr>
        <w:t>”</w:t>
      </w:r>
      <w:r>
        <w:rPr>
          <w:rFonts w:hint="default" w:ascii="Times New Roman" w:hAnsi="Times New Roman" w:eastAsia="仿宋_GB2312" w:cs="Times New Roman"/>
          <w:spacing w:val="0"/>
          <w:w w:val="100"/>
          <w:kern w:val="2"/>
          <w:sz w:val="28"/>
          <w:szCs w:val="28"/>
          <w:lang w:val="en-US" w:eastAsia="zh-CN" w:bidi="ar-SA"/>
        </w:rPr>
        <w:t>示范户提质改造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sz w:val="28"/>
          <w:szCs w:val="28"/>
          <w:lang w:val="en-US" w:eastAsia="zh-CN" w:bidi="ar-SA"/>
        </w:rPr>
        <w:t>57</w:t>
      </w:r>
      <w:r>
        <w:rPr>
          <w:rFonts w:hint="default" w:ascii="Times New Roman" w:hAnsi="Times New Roman" w:eastAsia="仿宋_GB2312" w:cs="Times New Roman"/>
          <w:spacing w:val="0"/>
          <w:w w:val="100"/>
          <w:kern w:val="2"/>
          <w:sz w:val="28"/>
          <w:szCs w:val="28"/>
          <w:lang w:val="en-US" w:eastAsia="zh-CN" w:bidi="ar-SA"/>
        </w:rPr>
        <w:t>户，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实施农房提升工程13户，生态及地质灾害避险搬迁2户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pacing w:val="0"/>
          <w:w w:val="100"/>
          <w:kern w:val="2"/>
          <w:sz w:val="28"/>
          <w:szCs w:val="28"/>
          <w:lang w:val="en-US" w:eastAsia="zh-CN" w:bidi="ar-SA"/>
        </w:rPr>
        <w:t>新建垃圾仓7座、卫生厕所170座</w:t>
      </w:r>
      <w:r>
        <w:rPr>
          <w:rFonts w:hint="eastAsia" w:ascii="Times New Roman" w:hAnsi="Times New Roman" w:eastAsia="仿宋_GB2312" w:cs="Times New Roman"/>
          <w:spacing w:val="0"/>
          <w:w w:val="100"/>
          <w:kern w:val="2"/>
          <w:sz w:val="28"/>
          <w:szCs w:val="28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spacing w:val="0"/>
          <w:w w:val="100"/>
          <w:kern w:val="2"/>
          <w:sz w:val="28"/>
          <w:szCs w:val="28"/>
          <w:lang w:val="en-US" w:eastAsia="zh-CN" w:bidi="ar-SA"/>
        </w:rPr>
        <w:t>维修道路13条54公里、新修产业路6.42公里，完成店坪村、乔崾岘村</w:t>
      </w:r>
      <w:r>
        <w:rPr>
          <w:rFonts w:hint="eastAsia" w:ascii="Times New Roman" w:hAnsi="Times New Roman" w:eastAsia="仿宋_GB2312" w:cs="Times New Roman"/>
          <w:spacing w:val="0"/>
          <w:w w:val="100"/>
          <w:kern w:val="2"/>
          <w:sz w:val="28"/>
          <w:szCs w:val="28"/>
          <w:lang w:val="en-US" w:eastAsia="zh-CN" w:bidi="ar-SA"/>
        </w:rPr>
        <w:t>“</w:t>
      </w:r>
      <w:r>
        <w:rPr>
          <w:rFonts w:hint="default" w:ascii="Times New Roman" w:hAnsi="Times New Roman" w:eastAsia="仿宋_GB2312" w:cs="Times New Roman"/>
          <w:spacing w:val="0"/>
          <w:w w:val="100"/>
          <w:kern w:val="2"/>
          <w:sz w:val="28"/>
          <w:szCs w:val="28"/>
          <w:lang w:val="en-US" w:eastAsia="zh-CN" w:bidi="ar-SA"/>
        </w:rPr>
        <w:t>一村万树</w:t>
      </w:r>
      <w:r>
        <w:rPr>
          <w:rFonts w:hint="eastAsia" w:ascii="Times New Roman" w:hAnsi="Times New Roman" w:eastAsia="仿宋_GB2312" w:cs="Times New Roman"/>
          <w:spacing w:val="0"/>
          <w:w w:val="100"/>
          <w:kern w:val="2"/>
          <w:sz w:val="28"/>
          <w:szCs w:val="28"/>
          <w:lang w:val="en-US" w:eastAsia="zh-CN" w:bidi="ar-SA"/>
        </w:rPr>
        <w:t>”</w:t>
      </w:r>
      <w:r>
        <w:rPr>
          <w:rFonts w:hint="default" w:ascii="Times New Roman" w:hAnsi="Times New Roman" w:eastAsia="仿宋_GB2312" w:cs="Times New Roman"/>
          <w:spacing w:val="0"/>
          <w:w w:val="100"/>
          <w:kern w:val="2"/>
          <w:sz w:val="28"/>
          <w:szCs w:val="28"/>
          <w:lang w:val="en-US" w:eastAsia="zh-CN" w:bidi="ar-SA"/>
        </w:rPr>
        <w:t>工程。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288" w:lineRule="auto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这一年，我们</w:t>
      </w:r>
      <w:r>
        <w:rPr>
          <w:rFonts w:hint="default" w:ascii="Times New Roman" w:hAnsi="Times New Roman" w:eastAsia="楷体_GB2312" w:cs="Times New Roman"/>
          <w:b/>
          <w:bCs/>
          <w:i w:val="0"/>
          <w:iCs w:val="0"/>
          <w:caps w:val="0"/>
          <w:color w:val="000000"/>
          <w:spacing w:val="0"/>
          <w:w w:val="100"/>
          <w:sz w:val="32"/>
          <w:szCs w:val="32"/>
          <w:shd w:val="clear" w:color="auto" w:fill="FFFFFF"/>
          <w:lang w:val="en-US" w:eastAsia="zh-CN"/>
        </w:rPr>
        <w:t>聚焦优化环境，服务效能不断提升。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以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三抓三促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行动为抓手，结合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服务型效能型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机关创建，持续开展机关作风大转变、营商环境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大优化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专项行动，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全年受理业务总量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35</w:t>
      </w:r>
      <w:r>
        <w:rPr>
          <w:rFonts w:hint="default" w:ascii="Times New Roman" w:hAnsi="Times New Roman" w:eastAsia="仿宋_GB2312" w:cs="Times New Roman"/>
          <w:sz w:val="28"/>
          <w:szCs w:val="28"/>
        </w:rPr>
        <w:t>00余件，接待群众咨询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z w:val="28"/>
          <w:szCs w:val="28"/>
        </w:rPr>
        <w:t>00余人次，实现了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一窗通办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、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一网通办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”；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开展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一把手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走流程16次、分管领导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坐窗口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38次，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庆阳三为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专题研讨1次、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你我同行·共写悦乐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读书分享活动170余次、业务互评互比互训60余次、红色教育活动5次，观看红色电影3场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，形成了干部提神、工作提效、发展提速的良好局面。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288" w:lineRule="auto"/>
        <w:ind w:left="0" w:leftChars="0" w:firstLine="643" w:firstLineChars="200"/>
        <w:textAlignment w:val="auto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这一年，我们</w:t>
      </w:r>
      <w:r>
        <w:rPr>
          <w:rFonts w:hint="default" w:ascii="Times New Roman" w:hAnsi="Times New Roman" w:eastAsia="楷体_GB2312" w:cs="Times New Roman"/>
          <w:b/>
          <w:bCs/>
          <w:i w:val="0"/>
          <w:iCs w:val="0"/>
          <w:caps w:val="0"/>
          <w:color w:val="000000"/>
          <w:spacing w:val="0"/>
          <w:w w:val="100"/>
          <w:sz w:val="32"/>
          <w:szCs w:val="32"/>
          <w:shd w:val="clear" w:color="auto" w:fill="FFFFFF"/>
          <w:lang w:val="en-US" w:eastAsia="zh-CN"/>
        </w:rPr>
        <w:t>聚焦党的建设，夯实高质量发展根基。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扎实开展分类晋级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做实做细党支部建设标准化工作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争创五星级党支部1个；完成悦乐村软弱涣散党组织整顿提升工作；培育打造政府机关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党徽闪耀·项目堡垒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、乔崾岘村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党建红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助力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产业牛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、新堡村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党建+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乡村风貌提升、店坪村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党建领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促进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经济活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等党建品牌8个，持续推动党建工作与业务工作有机结合、深度融合。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288" w:lineRule="auto"/>
        <w:ind w:left="0" w:leftChars="0" w:firstLine="56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、</w:t>
      </w:r>
      <w:r>
        <w:rPr>
          <w:rFonts w:hint="eastAsia" w:ascii="黑体" w:hAnsi="黑体" w:eastAsia="黑体"/>
          <w:sz w:val="32"/>
          <w:szCs w:val="32"/>
          <w:lang w:eastAsia="zh-CN"/>
        </w:rPr>
        <w:t>部门整体</w:t>
      </w:r>
      <w:r>
        <w:rPr>
          <w:rFonts w:hint="eastAsia" w:ascii="黑体" w:hAnsi="黑体" w:eastAsia="黑体"/>
          <w:sz w:val="32"/>
          <w:szCs w:val="32"/>
        </w:rPr>
        <w:t>绩效目标完成情况。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288" w:lineRule="auto"/>
        <w:ind w:left="0" w:leftChars="0" w:firstLine="643" w:firstLineChars="200"/>
        <w:textAlignment w:val="auto"/>
        <w:rPr>
          <w:rFonts w:hint="eastAsia" w:ascii="楷体_GB2312" w:hAnsi="仿宋" w:eastAsia="楷体_GB2312"/>
          <w:b/>
          <w:sz w:val="32"/>
          <w:szCs w:val="32"/>
        </w:rPr>
      </w:pPr>
      <w:r>
        <w:rPr>
          <w:rFonts w:hint="eastAsia" w:ascii="楷体_GB2312" w:hAnsi="仿宋" w:eastAsia="楷体_GB2312"/>
          <w:b/>
          <w:sz w:val="32"/>
          <w:szCs w:val="32"/>
          <w:lang w:eastAsia="zh-CN"/>
        </w:rPr>
        <w:t>（一）</w:t>
      </w:r>
      <w:r>
        <w:rPr>
          <w:rFonts w:hint="eastAsia" w:ascii="楷体_GB2312" w:hAnsi="仿宋" w:eastAsia="楷体_GB2312"/>
          <w:b/>
          <w:sz w:val="32"/>
          <w:szCs w:val="32"/>
        </w:rPr>
        <w:t>概述</w:t>
      </w:r>
      <w:r>
        <w:rPr>
          <w:rFonts w:hint="eastAsia" w:ascii="楷体_GB2312" w:hAnsi="仿宋" w:eastAsia="楷体_GB2312"/>
          <w:b/>
          <w:sz w:val="32"/>
          <w:szCs w:val="32"/>
          <w:lang w:eastAsia="zh-CN"/>
        </w:rPr>
        <w:t>部门整体</w:t>
      </w:r>
      <w:r>
        <w:rPr>
          <w:rFonts w:hint="eastAsia" w:ascii="楷体_GB2312" w:hAnsi="仿宋" w:eastAsia="楷体_GB2312"/>
          <w:b/>
          <w:sz w:val="32"/>
          <w:szCs w:val="32"/>
        </w:rPr>
        <w:t>绩效目标完成情况。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288" w:lineRule="auto"/>
        <w:ind w:left="0" w:leftChars="0" w:firstLine="560" w:firstLineChars="200"/>
        <w:textAlignment w:val="auto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2023年度，按照“谁申请资金，谁设置目标”的原则，纳入部门预算管理的部门整体支出1个，按规定随年度预算一并公开1个，公开率为 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288" w:lineRule="auto"/>
        <w:ind w:left="0" w:leftChars="0" w:firstLine="560" w:firstLineChars="200"/>
        <w:textAlignment w:val="auto"/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202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年度整体支出绩效目标资金总额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4567.58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万元，其中财政拨款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4567.58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万元，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基本支出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zh-CN" w:eastAsia="zh-CN"/>
        </w:rPr>
        <w:t>1236.76万元,占27.08%；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用于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zh-CN"/>
        </w:rPr>
        <w:t>人员经费1142.58万元；公用经费94.18万元；项目支出（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建设用地补偿款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zh-CN"/>
        </w:rPr>
        <w:t>）3330.82万元,占72.92%。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288" w:lineRule="auto"/>
        <w:ind w:left="0" w:leftChars="0" w:firstLine="643" w:firstLineChars="200"/>
        <w:textAlignment w:val="auto"/>
        <w:rPr>
          <w:rFonts w:hint="eastAsia" w:ascii="楷体_GB2312" w:hAnsi="仿宋" w:eastAsia="楷体_GB2312"/>
          <w:b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b/>
          <w:sz w:val="32"/>
          <w:szCs w:val="32"/>
          <w:lang w:eastAsia="zh-CN"/>
        </w:rPr>
        <w:t>（二）整体支出绩效目标实现情况。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288" w:lineRule="auto"/>
        <w:ind w:left="0" w:leftChars="0" w:firstLine="560" w:firstLineChars="2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2023年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12</w:t>
      </w:r>
      <w:r>
        <w:rPr>
          <w:rFonts w:hint="eastAsia" w:ascii="仿宋_GB2312" w:hAnsi="仿宋" w:eastAsia="仿宋_GB2312"/>
          <w:sz w:val="28"/>
          <w:szCs w:val="28"/>
        </w:rPr>
        <w:t>月，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对职工工资福利支出、机关运行情况、项目建设用地征迁情况，</w:t>
      </w:r>
      <w:r>
        <w:rPr>
          <w:rFonts w:hint="eastAsia" w:ascii="仿宋_GB2312" w:hAnsi="仿宋" w:eastAsia="仿宋_GB2312"/>
          <w:sz w:val="28"/>
          <w:szCs w:val="28"/>
        </w:rPr>
        <w:t>组织开展1-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12</w:t>
      </w:r>
      <w:r>
        <w:rPr>
          <w:rFonts w:hint="eastAsia" w:ascii="仿宋_GB2312" w:hAnsi="仿宋" w:eastAsia="仿宋_GB2312"/>
          <w:sz w:val="28"/>
          <w:szCs w:val="28"/>
        </w:rPr>
        <w:t xml:space="preserve">月绩效运行监控 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" w:eastAsia="仿宋_GB2312"/>
          <w:sz w:val="28"/>
          <w:szCs w:val="28"/>
        </w:rPr>
        <w:t>个，占本</w:t>
      </w:r>
      <w:r>
        <w:rPr>
          <w:rFonts w:hint="eastAsia" w:ascii="仿宋_GB2312" w:hAnsi="CIDFont+F6" w:eastAsia="仿宋_GB2312"/>
          <w:color w:val="000000"/>
          <w:sz w:val="28"/>
          <w:szCs w:val="28"/>
        </w:rPr>
        <w:t>部门</w:t>
      </w:r>
      <w:r>
        <w:rPr>
          <w:rFonts w:hint="eastAsia" w:ascii="仿宋_GB2312" w:hAnsi="仿宋" w:eastAsia="仿宋_GB2312"/>
          <w:sz w:val="28"/>
          <w:szCs w:val="28"/>
        </w:rPr>
        <w:t xml:space="preserve">项目的 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100</w:t>
      </w:r>
      <w:r>
        <w:rPr>
          <w:rFonts w:hint="eastAsia" w:ascii="仿宋_GB2312" w:hAnsi="仿宋" w:eastAsia="仿宋_GB2312"/>
          <w:sz w:val="28"/>
          <w:szCs w:val="28"/>
        </w:rPr>
        <w:t xml:space="preserve"> 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288" w:lineRule="auto"/>
        <w:ind w:left="0" w:leftChars="0" w:firstLine="643" w:firstLineChars="200"/>
        <w:textAlignment w:val="auto"/>
        <w:rPr>
          <w:rFonts w:hint="eastAsia" w:ascii="楷体_GB2312" w:hAnsi="仿宋" w:eastAsia="楷体_GB2312"/>
          <w:b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b/>
          <w:sz w:val="32"/>
          <w:szCs w:val="32"/>
          <w:lang w:eastAsia="zh-CN"/>
        </w:rPr>
        <w:t>部门整体绩效目标效果情况。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288" w:lineRule="auto"/>
        <w:ind w:left="0" w:leftChars="0" w:firstLine="560" w:firstLineChars="200"/>
        <w:textAlignment w:val="auto"/>
        <w:rPr>
          <w:rFonts w:hint="eastAsia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2023年完成财政预算收支4567.58万元，主要从预决算编制开始、严格程序、都达到准确、完整、及时公开；结合履职效果，抓工作效率及时效，促工作落实情况。争取受到人民群众满意和社会满意，接受人大代表的监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288" w:lineRule="auto"/>
        <w:ind w:left="0" w:leftChars="0" w:firstLine="560" w:firstLineChars="200"/>
        <w:textAlignment w:val="auto"/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" w:eastAsia="仿宋_GB2312"/>
          <w:sz w:val="28"/>
          <w:szCs w:val="28"/>
        </w:rPr>
        <w:t>通过对预算的绩效目标管理，保障了财供人员法定基本工资和津补贴收入，保障了资金承受对象的利益，保证机构工作正常运转，符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合公共机构节能规定，维护了社会和谐稳定。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288" w:lineRule="auto"/>
        <w:ind w:left="0" w:leftChars="0"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当年预算执行及绩效管理中存在问题、原因及改进措施。</w:t>
      </w:r>
    </w:p>
    <w:p>
      <w:pPr>
        <w:keepNext w:val="0"/>
        <w:keepLines w:val="0"/>
        <w:pageBreakBefore w:val="0"/>
        <w:widowControl w:val="0"/>
        <w:numPr>
          <w:numId w:val="0"/>
        </w:numPr>
        <w:pBdr>
          <w:top w:val="none" w:color="000000" w:sz="0" w:space="0"/>
          <w:left w:val="none" w:color="000000" w:sz="0" w:space="0"/>
          <w:bottom w:val="none" w:color="000000" w:sz="0" w:space="20"/>
          <w:right w:val="none" w:color="000000" w:sz="0" w:space="1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288" w:lineRule="auto"/>
        <w:ind w:leftChars="200"/>
        <w:textAlignment w:val="auto"/>
        <w:rPr>
          <w:rFonts w:hint="eastAsia" w:ascii="楷体_GB2312" w:hAnsi="仿宋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b/>
          <w:sz w:val="32"/>
          <w:szCs w:val="32"/>
          <w:lang w:val="en-US" w:eastAsia="zh-CN"/>
        </w:rPr>
        <w:t>（一）存在问题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288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  <w:lang w:val="en-US" w:eastAsia="zh-CN"/>
        </w:rPr>
      </w:pPr>
      <w:r>
        <w:rPr>
          <w:rFonts w:hint="default" w:ascii="仿宋_GB2312" w:hAnsi="仿宋" w:eastAsia="仿宋_GB2312"/>
          <w:sz w:val="28"/>
          <w:szCs w:val="28"/>
          <w:lang w:val="en-US" w:eastAsia="zh-CN"/>
        </w:rPr>
        <w:t>1.商品和服务支出预算经费紧缺，需要增加预算。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288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  <w:lang w:val="en-US" w:eastAsia="zh-CN"/>
        </w:rPr>
      </w:pPr>
      <w:r>
        <w:rPr>
          <w:rFonts w:hint="default" w:ascii="仿宋_GB2312" w:hAnsi="仿宋" w:eastAsia="仿宋_GB2312"/>
          <w:sz w:val="28"/>
          <w:szCs w:val="28"/>
          <w:lang w:val="en-US" w:eastAsia="zh-CN"/>
        </w:rPr>
        <w:t>2.绩效管理有待加强。在绩效目标的设立、内容的完整、项目指标的选用有待加强和完善。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adjustRightInd/>
        <w:snapToGrid w:val="0"/>
        <w:spacing w:line="288" w:lineRule="auto"/>
        <w:ind w:firstLine="643" w:firstLineChars="200"/>
        <w:textAlignment w:val="auto"/>
        <w:rPr>
          <w:rFonts w:hint="eastAsia" w:ascii="楷体_GB2312" w:hAnsi="仿宋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b/>
          <w:sz w:val="32"/>
          <w:szCs w:val="32"/>
          <w:lang w:val="en-US" w:eastAsia="zh-CN"/>
        </w:rPr>
        <w:t>（二）下步整改措施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  <w:lang w:val="en-US" w:eastAsia="zh-CN"/>
        </w:rPr>
      </w:pPr>
      <w:r>
        <w:rPr>
          <w:rFonts w:hint="default" w:ascii="仿宋_GB2312" w:hAnsi="仿宋" w:eastAsia="仿宋_GB2312"/>
          <w:sz w:val="28"/>
          <w:szCs w:val="28"/>
          <w:lang w:val="en-US" w:eastAsia="zh-CN"/>
        </w:rPr>
        <w:t>1.适当增加经费预算。根据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我镇</w:t>
      </w:r>
      <w:r>
        <w:rPr>
          <w:rFonts w:hint="default" w:ascii="仿宋_GB2312" w:hAnsi="仿宋" w:eastAsia="仿宋_GB2312"/>
          <w:sz w:val="28"/>
          <w:szCs w:val="28"/>
          <w:lang w:val="en-US" w:eastAsia="zh-CN"/>
        </w:rPr>
        <w:t>的职能和职责，承担着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农村</w:t>
      </w:r>
      <w:r>
        <w:rPr>
          <w:rFonts w:hint="default" w:ascii="仿宋_GB2312" w:hAnsi="仿宋" w:eastAsia="仿宋_GB2312"/>
          <w:sz w:val="28"/>
          <w:szCs w:val="28"/>
          <w:lang w:val="en-US" w:eastAsia="zh-CN"/>
        </w:rPr>
        <w:t>经济运行监管、重点项目推进、企业入统、工业用电协调、产业集群培育、工业信息化、招商引资、创建、扶贫等工作，公用经费使用量大，为了更好的开展工作，完成各项工作任务，适当增加预算资金，以确保各项工作的开展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288" w:lineRule="auto"/>
        <w:ind w:firstLine="56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/>
          <w:sz w:val="28"/>
          <w:szCs w:val="28"/>
          <w:lang w:val="en-US" w:eastAsia="zh-CN"/>
        </w:rPr>
        <w:t>2.加强绩效管理。健全相关制度，明确管理部门和人员，逐步规范绩效目标编制，加强绩效跟踪监控，提升绩效评价质量，提高财政资金使用效率。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288" w:lineRule="auto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四、绩效自评结果拟应用</w:t>
      </w:r>
      <w:bookmarkStart w:id="1" w:name="_GoBack"/>
      <w:bookmarkEnd w:id="1"/>
      <w:r>
        <w:rPr>
          <w:rFonts w:hint="eastAsia" w:ascii="黑体" w:hAnsi="黑体" w:eastAsia="黑体"/>
          <w:sz w:val="32"/>
          <w:szCs w:val="32"/>
          <w:lang w:val="en-US" w:eastAsia="zh-CN"/>
        </w:rPr>
        <w:t>及公开情况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adjustRightInd/>
        <w:snapToGrid w:val="0"/>
        <w:spacing w:line="288" w:lineRule="auto"/>
        <w:ind w:firstLine="643" w:firstLineChars="200"/>
        <w:textAlignment w:val="auto"/>
        <w:rPr>
          <w:rFonts w:hint="eastAsia" w:ascii="楷体_GB2312" w:hAnsi="仿宋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b/>
          <w:sz w:val="32"/>
          <w:szCs w:val="32"/>
          <w:lang w:val="en-US" w:eastAsia="zh-CN"/>
        </w:rPr>
        <w:t>（一）绩效自评结果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288" w:lineRule="auto"/>
        <w:ind w:firstLine="560" w:firstLineChars="200"/>
        <w:textAlignment w:val="auto"/>
        <w:rPr>
          <w:rFonts w:hint="default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整体部门支出绩效评价，以结果为导向，重点围绕整体部门支出的目标管理、履职效果、能力建设度三个方面设计指标体系，进行评价分析。通过《整体绩效支出目标自评表》进行评价打分。通过实地走访了解项目实施情况，同时开展问卷调查，了解相关人员对整体部门支出的看法，纳入评分。预算编制完整、准确，做到预算收入、预算科目、专项业务费细化和分类填报符合预算编制要求，从履职效果情况及能力建设程度三方面进行综合客观的评价</w:t>
      </w:r>
      <w:r>
        <w:rPr>
          <w:rFonts w:hint="default" w:ascii="仿宋_GB2312" w:hAnsi="仿宋" w:eastAsia="仿宋_GB2312"/>
          <w:sz w:val="28"/>
          <w:szCs w:val="28"/>
          <w:lang w:val="en-US" w:eastAsia="zh-CN"/>
        </w:rPr>
        <w:t>等级：优，总分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90</w:t>
      </w:r>
      <w:r>
        <w:rPr>
          <w:rFonts w:hint="default" w:ascii="仿宋_GB2312" w:hAnsi="仿宋" w:eastAsia="仿宋_GB2312"/>
          <w:sz w:val="28"/>
          <w:szCs w:val="28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adjustRightInd/>
        <w:snapToGrid w:val="0"/>
        <w:spacing w:line="288" w:lineRule="auto"/>
        <w:ind w:firstLine="643" w:firstLineChars="200"/>
        <w:textAlignment w:val="auto"/>
        <w:rPr>
          <w:rFonts w:hint="eastAsia" w:ascii="楷体_GB2312" w:hAnsi="仿宋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b/>
          <w:sz w:val="32"/>
          <w:szCs w:val="32"/>
          <w:lang w:val="en-US" w:eastAsia="zh-CN"/>
        </w:rPr>
        <w:t>（二）拟应用和公开情况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288" w:lineRule="auto"/>
        <w:ind w:firstLine="56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自评结果在本单位进行了拟应用和公开。</w:t>
      </w:r>
    </w:p>
    <w:sectPr>
      <w:pgSz w:w="11906" w:h="16838"/>
      <w:pgMar w:top="1440" w:right="1701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6FF2D0"/>
    <w:multiLevelType w:val="singleLevel"/>
    <w:tmpl w:val="0B6FF2D0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3C1EA09F"/>
    <w:multiLevelType w:val="singleLevel"/>
    <w:tmpl w:val="3C1EA09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7A6B483"/>
    <w:multiLevelType w:val="singleLevel"/>
    <w:tmpl w:val="67A6B48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5ZTIyMmVjMmRmNmFhODBjZTRkOWY5YTU4MDQ4MDUifQ=="/>
  </w:docVars>
  <w:rsids>
    <w:rsidRoot w:val="47C95699"/>
    <w:rsid w:val="15470384"/>
    <w:rsid w:val="335F14F9"/>
    <w:rsid w:val="356C7283"/>
    <w:rsid w:val="473D33BD"/>
    <w:rsid w:val="47C95699"/>
    <w:rsid w:val="70F8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3"/>
    <w:qFormat/>
    <w:uiPriority w:val="0"/>
    <w:pPr>
      <w:spacing w:after="120" w:line="480" w:lineRule="auto"/>
      <w:ind w:left="420" w:leftChars="200"/>
    </w:pPr>
  </w:style>
  <w:style w:type="paragraph" w:styleId="3">
    <w:name w:val="Normal (Web)"/>
    <w:basedOn w:val="1"/>
    <w:next w:val="1"/>
    <w:qFormat/>
    <w:uiPriority w:val="99"/>
    <w:pPr>
      <w:spacing w:before="100" w:beforeAutospacing="1" w:after="100" w:afterAutospacing="1"/>
    </w:pPr>
  </w:style>
  <w:style w:type="character" w:customStyle="1" w:styleId="6">
    <w:name w:val="NormalCharacter"/>
    <w:basedOn w:val="5"/>
    <w:link w:val="7"/>
    <w:semiHidden/>
    <w:qFormat/>
    <w:uiPriority w:val="99"/>
  </w:style>
  <w:style w:type="paragraph" w:customStyle="1" w:styleId="7">
    <w:name w:val="UserStyle_4"/>
    <w:basedOn w:val="1"/>
    <w:link w:val="6"/>
    <w:qFormat/>
    <w:uiPriority w:val="0"/>
    <w:pPr>
      <w:suppressLineNumbers/>
      <w:suppressAutoHyphens/>
      <w:bidi w:val="0"/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2969</Words>
  <Characters>3178</Characters>
  <Lines>0</Lines>
  <Paragraphs>0</Paragraphs>
  <TotalTime>26</TotalTime>
  <ScaleCrop>false</ScaleCrop>
  <LinksUpToDate>false</LinksUpToDate>
  <CharactersWithSpaces>3195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2024-05-09T02:54:00Z</dcterms:created>
  <dc:creator>Administrator</dc:creator>
  <cp:lastModifiedBy>Lenovo</cp:lastModifiedBy>
  <dcterms:modified xsi:type="dcterms:W3CDTF">2024-09-13T13:06:54Z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503FAF348D774023BAB9C6D584D0A15B_13</vt:lpwstr>
  </property>
</Properties>
</file>