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DF7D7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</w:p>
    <w:p w14:paraId="4D0CF65A">
      <w:pPr>
        <w:keepNext w:val="0"/>
        <w:keepLines w:val="0"/>
        <w:pageBreakBefore w:val="0"/>
        <w:kinsoku/>
        <w:wordWrap/>
        <w:topLinePunct w:val="0"/>
        <w:bidi w:val="0"/>
        <w:adjustRightInd/>
        <w:spacing w:line="60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元城镇人民政府</w:t>
      </w:r>
    </w:p>
    <w:p w14:paraId="016FD015">
      <w:pPr>
        <w:keepNext w:val="0"/>
        <w:keepLines w:val="0"/>
        <w:pageBreakBefore w:val="0"/>
        <w:kinsoku/>
        <w:wordWrap/>
        <w:topLinePunct w:val="0"/>
        <w:bidi w:val="0"/>
        <w:adjustRightInd/>
        <w:spacing w:line="600" w:lineRule="exact"/>
        <w:ind w:left="0" w:leftChars="0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部门整体支出绩效自评报告</w:t>
      </w:r>
    </w:p>
    <w:p w14:paraId="0FBD3B44">
      <w:pPr>
        <w:keepNext w:val="0"/>
        <w:keepLines w:val="0"/>
        <w:pageBreakBefore w:val="0"/>
        <w:kinsoku/>
        <w:wordWrap/>
        <w:topLinePunct w:val="0"/>
        <w:bidi w:val="0"/>
        <w:adjustRightInd/>
        <w:spacing w:line="600" w:lineRule="exact"/>
        <w:ind w:left="0" w:left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（2023年度）</w:t>
      </w:r>
    </w:p>
    <w:p w14:paraId="4F6E2B59">
      <w:pPr>
        <w:keepNext w:val="0"/>
        <w:keepLines w:val="0"/>
        <w:pageBreakBefore w:val="0"/>
        <w:kinsoku/>
        <w:wordWrap/>
        <w:topLinePunct w:val="0"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bookmarkStart w:id="0" w:name="YS060101"/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eastAsia="zh-CN"/>
        </w:rPr>
        <w:t>部门概况</w:t>
      </w:r>
    </w:p>
    <w:bookmarkEnd w:id="0"/>
    <w:p w14:paraId="0F514A24">
      <w:pPr>
        <w:keepNext w:val="0"/>
        <w:keepLines w:val="0"/>
        <w:pageBreakBefore w:val="0"/>
        <w:kinsoku/>
        <w:wordWrap/>
        <w:topLinePunct w:val="0"/>
        <w:bidi w:val="0"/>
        <w:adjustRightInd/>
        <w:snapToGrid w:val="0"/>
        <w:spacing w:line="600" w:lineRule="exact"/>
        <w:ind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b/>
          <w:sz w:val="32"/>
          <w:szCs w:val="32"/>
        </w:rPr>
        <w:t>（一）主要职责职能</w:t>
      </w:r>
      <w:r>
        <w:rPr>
          <w:rFonts w:hint="eastAsia" w:ascii="楷体_GB2312" w:hAnsi="仿宋" w:eastAsia="楷体_GB2312"/>
          <w:b/>
          <w:sz w:val="32"/>
          <w:szCs w:val="32"/>
          <w:lang w:eastAsia="zh-CN"/>
        </w:rPr>
        <w:t>、组织架构、人员及资产等基本情况</w:t>
      </w:r>
    </w:p>
    <w:p w14:paraId="5D7636F1">
      <w:pPr>
        <w:pStyle w:val="2"/>
        <w:keepNext w:val="0"/>
        <w:keepLines w:val="0"/>
        <w:pageBreakBefore w:val="0"/>
        <w:kinsoku/>
        <w:wordWrap/>
        <w:topLinePunct w:val="0"/>
        <w:bidi w:val="0"/>
        <w:adjustRightInd/>
        <w:spacing w:line="60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1、主要职责职能</w:t>
      </w:r>
    </w:p>
    <w:p w14:paraId="3543F6CB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topLinePunct w:val="0"/>
        <w:bidi w:val="0"/>
        <w:adjustRightInd/>
        <w:spacing w:before="0" w:beforeAutospacing="0" w:after="0" w:afterAutospacing="0" w:line="600" w:lineRule="exact"/>
        <w:ind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元城镇人民政府是领导和管理经济、教育、科学、文化、社会事业等工作的职能部门。主要职责是:1.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贯彻执行党的路线、方针、政策和国家法律法规，贯彻执行上级行政机关的决议、命令及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镇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党委的决定，执行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镇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人民代表大会的决议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；2.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对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镇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人民代表大会及其主席团和县政府负责并报告工作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；3.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编制和执行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镇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国民经济和社会发展计划，编制并执行财政预算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；4.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管理经济和各项社会事业的行政工作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；5.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负责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镇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行政执法工作，维护社会秩序，保护公民人身、民主、财产等合法权利，保护各种经济组织的合法权益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；6.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支持和帮助村民委员会工作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7.法律规定的其他职责。</w:t>
      </w:r>
    </w:p>
    <w:p w14:paraId="019AFF06">
      <w:pPr>
        <w:pStyle w:val="2"/>
        <w:keepNext w:val="0"/>
        <w:keepLines w:val="0"/>
        <w:pageBreakBefore w:val="0"/>
        <w:kinsoku/>
        <w:wordWrap/>
        <w:topLinePunct w:val="0"/>
        <w:bidi w:val="0"/>
        <w:adjustRightInd/>
        <w:spacing w:line="600" w:lineRule="exact"/>
        <w:ind w:left="0" w:leftChars="0" w:firstLine="643" w:firstLineChars="200"/>
        <w:textAlignment w:val="auto"/>
        <w:rPr>
          <w:rFonts w:hint="eastAsia" w:ascii="Times New Roman" w:hAnsi="Times New Roman" w:eastAsia="仿宋_GB2312" w:cs="Times New Roman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2、组织架构</w:t>
      </w:r>
    </w:p>
    <w:p w14:paraId="1F41DD8C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topLinePunct w:val="0"/>
        <w:bidi w:val="0"/>
        <w:adjustRightInd/>
        <w:spacing w:before="0" w:beforeAutospacing="0" w:after="0" w:afterAutospacing="0" w:line="600" w:lineRule="exact"/>
        <w:ind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元城镇人民政府内设4个党政机构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1.党政综合办公室负责镇党委、人大、政府日常工作和组织人事机构编制工作；2.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党建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办公室负责镇机关党务、纪检和党风廉政建设、宣传工作；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3.经济发展和社会事务办公室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负责经济发展规划的制定和落实，第一、二、三产业的指导、管理工作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；4.社会治理和应急管理办公室负责治安防控体系建设、平安创建活动工作，负责网格化管理、网络信息技术平台建设维护等工作。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并设置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个事业机构，分别为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：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农业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农村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服务中心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公共事务服务中心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、政务（便民）服务中心、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社会治安综合治理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中心、综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合行政执法队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。</w:t>
      </w:r>
    </w:p>
    <w:p w14:paraId="45C9B561">
      <w:pPr>
        <w:keepNext w:val="0"/>
        <w:keepLines w:val="0"/>
        <w:pageBreakBefore w:val="0"/>
        <w:kinsoku/>
        <w:wordWrap/>
        <w:topLinePunct w:val="0"/>
        <w:bidi w:val="0"/>
        <w:adjustRightInd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（1）</w:t>
      </w:r>
      <w:r>
        <w:rPr>
          <w:rFonts w:hint="eastAsia" w:ascii="仿宋_GB2312" w:hAnsi="仿宋" w:eastAsia="仿宋_GB2312"/>
          <w:sz w:val="32"/>
          <w:szCs w:val="32"/>
        </w:rPr>
        <w:t>独立编制机构。</w:t>
      </w:r>
    </w:p>
    <w:p w14:paraId="7AF8F2BD">
      <w:pPr>
        <w:keepNext w:val="0"/>
        <w:keepLines w:val="0"/>
        <w:pageBreakBefore w:val="0"/>
        <w:kinsoku/>
        <w:wordWrap/>
        <w:topLinePunct w:val="0"/>
        <w:bidi w:val="0"/>
        <w:adjustRightInd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</w:rPr>
        <w:t>2023年，独立编制机构共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个，较上年</w:t>
      </w: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持平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4B6F081F">
      <w:pPr>
        <w:keepNext w:val="0"/>
        <w:keepLines w:val="0"/>
        <w:pageBreakBefore w:val="0"/>
        <w:kinsoku/>
        <w:wordWrap/>
        <w:topLinePunct w:val="0"/>
        <w:bidi w:val="0"/>
        <w:adjustRightInd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（2）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独立核算机构。</w:t>
      </w:r>
    </w:p>
    <w:p w14:paraId="5600EE20">
      <w:pPr>
        <w:keepNext w:val="0"/>
        <w:keepLines w:val="0"/>
        <w:pageBreakBefore w:val="0"/>
        <w:kinsoku/>
        <w:wordWrap/>
        <w:topLinePunct w:val="0"/>
        <w:bidi w:val="0"/>
        <w:adjustRightInd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2023年，独立核算机构共</w:t>
      </w:r>
      <w:r>
        <w:rPr>
          <w:rFonts w:hint="eastAsia" w:ascii="仿宋_GB2312" w:eastAsia="仿宋_GB2312"/>
          <w:sz w:val="32"/>
          <w:szCs w:val="32"/>
          <w:highlight w:val="none"/>
          <w:u w:val="single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个，较上年</w:t>
      </w: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持平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6C6B6F9A">
      <w:pPr>
        <w:keepNext w:val="0"/>
        <w:keepLines w:val="0"/>
        <w:pageBreakBefore w:val="0"/>
        <w:kinsoku/>
        <w:wordWrap/>
        <w:topLinePunct w:val="0"/>
        <w:bidi w:val="0"/>
        <w:adjustRightInd/>
        <w:snapToGrid w:val="0"/>
        <w:spacing w:line="600" w:lineRule="exact"/>
        <w:ind w:left="0" w:leftChars="0" w:firstLine="643" w:firstLineChars="200"/>
        <w:textAlignment w:val="auto"/>
        <w:rPr>
          <w:rFonts w:hint="eastAsia" w:ascii="Times New Roman" w:hAnsi="Times New Roman" w:eastAsia="仿宋_GB2312" w:cs="Times New Roman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3、人员情况</w:t>
      </w:r>
    </w:p>
    <w:p w14:paraId="0FD691F3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/>
        <w:spacing w:line="6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bidi="zh-HK"/>
        </w:rPr>
        <w:t>2023</w:t>
      </w:r>
      <w:r>
        <w:rPr>
          <w:rFonts w:ascii="仿宋_GB2312" w:eastAsia="仿宋_GB2312" w:cs="仿宋_GB2312"/>
          <w:color w:val="auto"/>
          <w:sz w:val="32"/>
          <w:szCs w:val="32"/>
          <w:highlight w:val="none"/>
          <w:lang w:bidi="zh-HK"/>
        </w:rPr>
        <w:t>年年末实有人数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  <w:lang w:val="en-US" w:eastAsia="zh-CN" w:bidi="zh-HK"/>
        </w:rPr>
        <w:t>58</w:t>
      </w:r>
      <w:r>
        <w:rPr>
          <w:rFonts w:ascii="仿宋_GB2312" w:eastAsia="仿宋_GB2312" w:cs="仿宋_GB2312"/>
          <w:color w:val="auto"/>
          <w:sz w:val="32"/>
          <w:szCs w:val="32"/>
          <w:highlight w:val="none"/>
          <w:lang w:bidi="zh-HK"/>
        </w:rPr>
        <w:t>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</w:t>
      </w:r>
      <w:r>
        <w:rPr>
          <w:rFonts w:ascii="仿宋_GB2312" w:eastAsia="仿宋_GB2312" w:cs="仿宋_GB2312"/>
          <w:color w:val="auto"/>
          <w:sz w:val="32"/>
          <w:szCs w:val="32"/>
          <w:highlight w:val="none"/>
          <w:lang w:bidi="zh-HK"/>
        </w:rPr>
        <w:t>在职人员人数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  <w:lang w:val="en-US" w:eastAsia="zh-CN" w:bidi="zh-HK"/>
        </w:rPr>
        <w:t xml:space="preserve"> 58</w:t>
      </w:r>
      <w:r>
        <w:rPr>
          <w:rFonts w:ascii="仿宋_GB2312" w:eastAsia="仿宋_GB2312" w:cs="仿宋_GB2312"/>
          <w:color w:val="auto"/>
          <w:sz w:val="32"/>
          <w:szCs w:val="32"/>
          <w:highlight w:val="none"/>
          <w:lang w:bidi="zh-HK"/>
        </w:rPr>
        <w:t>人。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  <w:lang w:eastAsia="zh-CN" w:bidi="zh-HK"/>
        </w:rPr>
        <w:t>与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  <w:lang w:val="en-US" w:eastAsia="zh-CN" w:bidi="zh-HK"/>
        </w:rPr>
        <w:t>2022年相比，增加4人，均为2023年新录用人员。</w:t>
      </w:r>
      <w:r>
        <w:rPr>
          <w:rFonts w:ascii="仿宋_GB2312" w:eastAsia="仿宋_GB2312" w:cs="仿宋_GB2312"/>
          <w:color w:val="auto"/>
          <w:sz w:val="32"/>
          <w:szCs w:val="32"/>
          <w:highlight w:val="none"/>
          <w:lang w:bidi="zh-HK"/>
        </w:rPr>
        <w:t>退休人员人数为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  <w:lang w:val="en-US" w:eastAsia="zh-CN" w:bidi="zh-HK"/>
        </w:rPr>
        <w:t>1</w:t>
      </w:r>
      <w:r>
        <w:rPr>
          <w:rFonts w:ascii="仿宋_GB2312" w:eastAsia="仿宋_GB2312" w:cs="仿宋_GB2312"/>
          <w:color w:val="auto"/>
          <w:sz w:val="32"/>
          <w:szCs w:val="32"/>
          <w:highlight w:val="none"/>
          <w:lang w:bidi="zh-HK"/>
        </w:rPr>
        <w:t>人。</w:t>
      </w:r>
    </w:p>
    <w:p w14:paraId="293079C0">
      <w:pPr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bidi w:val="0"/>
        <w:adjustRightInd/>
        <w:snapToGrid w:val="0"/>
        <w:spacing w:line="600" w:lineRule="exact"/>
        <w:ind w:left="0" w:leftChars="0"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b/>
          <w:sz w:val="32"/>
          <w:szCs w:val="32"/>
          <w:lang w:eastAsia="zh-CN"/>
        </w:rPr>
        <w:t>履职总体目标、工作任务</w:t>
      </w:r>
    </w:p>
    <w:p w14:paraId="3F312D9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2023年，在县委、县政府的正确领导下，围绕中心工作、狠抓任务落实，履职尽责、勇毅笃行，顽强拼搏、攻坚克难，在全镇干部群众的共同努力下，较好地完成了各项工作任务，经济社会各项事业高质量发展有力有序，总体呈现出发展提效、结构优化、民生改善、社会和谐的良好态势。</w:t>
      </w:r>
    </w:p>
    <w:p w14:paraId="166A5E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pacing w:val="0"/>
          <w:sz w:val="32"/>
          <w:szCs w:val="32"/>
          <w:lang w:val="en-US" w:eastAsia="zh-CN"/>
        </w:rPr>
        <w:t>1、合力抓巩固、促提升，纵深推动乡村振兴有效衔接。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扎实开展乡村振兴领域“回头看、大排查”、专项排查、集中排查、“六访六查十提升”等工作，发现问题7类13条，完成整改13条。针对国家、省级专项考核反馈问题，建立整改台账，认领问题266条，完成整改264条。健全防止返贫动态监测和帮扶机制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对全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 w:bidi="ar-SA"/>
        </w:rPr>
        <w:t>镇36户134人“三类户”加强防返贫动态监测帮扶，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按照“应纳尽纳”原则，今年新识别三类户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户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人，风险消除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户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76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人，风险消除率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56.58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%。持续加强易地扶贫搬迁后续</w:t>
      </w:r>
      <w:r>
        <w:rPr>
          <w:rFonts w:hint="eastAsia" w:eastAsia="仿宋_GB2312" w:cs="Times New Roman"/>
          <w:color w:val="auto"/>
          <w:spacing w:val="0"/>
          <w:sz w:val="32"/>
          <w:szCs w:val="32"/>
          <w:lang w:val="en-US" w:eastAsia="zh-CN"/>
        </w:rPr>
        <w:t>帮扶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，申报</w:t>
      </w:r>
      <w:r>
        <w:rPr>
          <w:rFonts w:hint="eastAsia" w:eastAsia="仿宋_GB2312" w:cs="Times New Roman"/>
          <w:color w:val="auto"/>
          <w:spacing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雨露计划</w:t>
      </w:r>
      <w:r>
        <w:rPr>
          <w:rFonts w:hint="eastAsia" w:eastAsia="仿宋_GB2312" w:cs="Times New Roman"/>
          <w:color w:val="auto"/>
          <w:spacing w:val="0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55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人，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0"/>
          <w:sz w:val="32"/>
          <w:szCs w:val="32"/>
          <w:highlight w:val="none"/>
          <w:lang w:val="en-US" w:eastAsia="zh-CN" w:bidi="ar-SA"/>
        </w:rPr>
        <w:t>新增本地务工岗位400个，落实就业奖补248人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pacing w:val="0"/>
          <w:kern w:val="0"/>
          <w:sz w:val="28"/>
          <w:szCs w:val="28"/>
          <w:highlight w:val="none"/>
          <w:lang w:val="en-US" w:eastAsia="zh-CN" w:bidi="ar-SA"/>
        </w:rPr>
        <w:t>（省内81，省外167人）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0"/>
          <w:sz w:val="32"/>
          <w:szCs w:val="32"/>
          <w:highlight w:val="none"/>
          <w:lang w:val="en-US" w:eastAsia="zh-CN" w:bidi="ar-SA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highlight w:val="none"/>
          <w:lang w:val="en-US" w:eastAsia="zh-CN" w:bidi="ar-SA"/>
        </w:rPr>
        <w:t>累计补助交通费用12.73万元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highlight w:val="none"/>
          <w:lang w:val="en-US" w:eastAsia="zh-CN" w:bidi="ar-SA"/>
        </w:rPr>
        <w:t>。高桥村股份经济合作社，为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700名群众发放分红资金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highlight w:val="none"/>
          <w:lang w:val="en-US" w:eastAsia="zh-CN" w:bidi="ar-SA"/>
        </w:rPr>
        <w:t>3.25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。</w:t>
      </w:r>
    </w:p>
    <w:p w14:paraId="35CC2F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pacing w:val="0"/>
          <w:sz w:val="32"/>
          <w:szCs w:val="32"/>
          <w:lang w:val="en-US" w:eastAsia="zh-CN"/>
        </w:rPr>
        <w:t>2、全力抓项目、稳投资，社会经济发展水平显著提升</w:t>
      </w:r>
      <w:r>
        <w:rPr>
          <w:rFonts w:hint="default" w:ascii="Times New Roman" w:hAnsi="Times New Roman" w:eastAsia="仿宋_GB2312" w:cs="Times New Roman"/>
          <w:b/>
          <w:bCs/>
          <w:color w:val="auto"/>
          <w:spacing w:val="0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bCs/>
          <w:spacing w:val="-6"/>
          <w:kern w:val="2"/>
          <w:sz w:val="32"/>
          <w:szCs w:val="32"/>
          <w:lang w:val="en-US" w:eastAsia="zh-CN" w:bidi="ar-SA"/>
        </w:rPr>
        <w:t>衔接争取各类项目资金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831.9万元</w:t>
      </w:r>
      <w:r>
        <w:rPr>
          <w:rFonts w:hint="default" w:ascii="Times New Roman" w:hAnsi="Times New Roman" w:eastAsia="仿宋_GB2312" w:cs="Times New Roman"/>
          <w:bCs/>
          <w:spacing w:val="-6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实施村级阵地、取水、通组路等基建类项目5个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。打造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农文旅融合采摘园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1处，配套修建产业路3.25公里，实施农文旅融合采摘园节水灌溉工程，新打400米机井1口，配套潜水泵2台，晾晒池1处，蹚出了一条“采摘体验+观光旅游+销售贮藏”的农文旅融合发展新路子；新建现代化党群教育服务中心1处，全面提升党群服务质效；新建龚河村通组道路工程4.9公里，对元城村北区居民点进行维修改造，新建人行步道2条、铺渗水砖1120平方米，配套给排水设施，安装太阳能路灯26盏，在高桥村安装太阳能路灯135盏，有效改善乡村基础设施；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营商环境不断优化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。</w:t>
      </w:r>
    </w:p>
    <w:p w14:paraId="697B15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pacing w:val="0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b/>
          <w:bCs/>
          <w:color w:val="auto"/>
          <w:spacing w:val="0"/>
          <w:sz w:val="32"/>
          <w:szCs w:val="32"/>
          <w:lang w:val="en-US" w:eastAsia="zh-CN"/>
        </w:rPr>
        <w:t>聚力抓产业、调结构，农业农村发展动能持续增强。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按照“主导产业抓种养、合作社和家庭农场互为补充”的发展思路，探索实施“一园一带三片区”产业布局，打造千亩中药材种植、大豆--玉米套种、秦杂谷种植等连片种植示范点等5处，新建星级家庭家庭农场4个，培育养殖大户23户，全镇6村集体经济2023年经济总量达到150.35万元，村均25.06万元，经营性收入5万元以上的村达到100%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。</w:t>
      </w:r>
    </w:p>
    <w:p w14:paraId="72A638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pacing w:val="0"/>
          <w:sz w:val="32"/>
          <w:szCs w:val="32"/>
          <w:lang w:val="en-US" w:eastAsia="zh-CN"/>
        </w:rPr>
        <w:t>4、</w:t>
      </w:r>
      <w:r>
        <w:rPr>
          <w:rFonts w:hint="default" w:ascii="Times New Roman" w:hAnsi="Times New Roman" w:eastAsia="仿宋_GB2312" w:cs="Times New Roman"/>
          <w:b/>
          <w:bCs/>
          <w:color w:val="auto"/>
          <w:spacing w:val="0"/>
          <w:sz w:val="32"/>
          <w:szCs w:val="32"/>
          <w:lang w:val="en-US" w:eastAsia="zh-CN"/>
        </w:rPr>
        <w:t>着力抓生态、优环境，和美乡村建设扎实有效推进。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坚持以提高农村生活质量为目标，深入推进乡村建设，持续巩固“三大革命”成效，加强基础设施配套，着力打造宜居宜业宜游的和美乡村。落实区域划片包干、政府购买服务、志愿者义务清扫等举措，发动群众、党员干部、网格员等开展常态化卫生整治，对公路沿线、庄前屋后的“三堆五乱”进行清理，实施“543”风貌改造51户、农村改厕130户，完成北区居民点维修提升工程，配套建设绿化亮化等设施。推进人居环境整治提升行动，以元城川悦乔路为主线，张川沟、土木沟等8道沟为支线，农户入户路口门口为自治点，结合主题党日“奉献日”活动，发动党员群众和公益性岗位人员开展义务卫生大清扫，消除视觉污染。</w:t>
      </w:r>
    </w:p>
    <w:p w14:paraId="176659F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pacing w:val="0"/>
          <w:sz w:val="32"/>
          <w:szCs w:val="32"/>
          <w:lang w:val="en-US" w:eastAsia="zh-CN"/>
        </w:rPr>
        <w:t>5、</w:t>
      </w:r>
      <w:r>
        <w:rPr>
          <w:rFonts w:hint="default" w:ascii="Times New Roman" w:hAnsi="Times New Roman" w:eastAsia="仿宋_GB2312" w:cs="Times New Roman"/>
          <w:b/>
          <w:bCs/>
          <w:color w:val="auto"/>
          <w:spacing w:val="0"/>
          <w:sz w:val="32"/>
          <w:szCs w:val="32"/>
          <w:lang w:val="en-US" w:eastAsia="zh-CN"/>
        </w:rPr>
        <w:t>倾力抓民生、暖民心，推动各项社会事业蓬勃发展</w:t>
      </w:r>
      <w:r>
        <w:rPr>
          <w:rFonts w:hint="eastAsia" w:ascii="Times New Roman" w:hAnsi="Times New Roman" w:eastAsia="仿宋_GB2312" w:cs="Times New Roman"/>
          <w:b/>
          <w:bCs/>
          <w:color w:val="auto"/>
          <w:spacing w:val="0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牢固树立“人民至上”的理念，统筹推进各项社会事业发展。教育文体协调发展。落实控辍保学主体责任，落实“送教上门”1人，落实“两免一补”政策678人，发放寄宿生补助6.71875万元、金秋助学金5人5.7万元。争取项目资金5万元，在元城村瓦咀子组建成同心广场1处。公共卫生不断加强。全面落实各项服务保障，落实医疗补偿资金996823.04万元，及时足额发放低保、临时救助等民政资金259.8592万元、残疾人两项补贴12.641万元。以“结对帮扶·爱心甘肃”行动为契机，建立领导包抓工作机制，扎实摸排全镇关爱对象67人，结对干部51人，联系交流462人次，走访探视260人次，落实政策45件，帮助解决困难67件，帮办事实89件，资助资金3.35万元。债务金融风险有效遏制。不断防范化解债务风险，严厉打击非法金融活动，脱贫人口小额信贷应回收59户291万元，已回收58户286万元，剩余1户5万元正在加大力度催收。常态化推进公职人员拖欠银行贷款拒不还贷问题专项整治，涉及3人42.35万元，已催收8.72万元，剩余欠款实行专人专责，积极跟进，确保完成清欠任务。</w:t>
      </w:r>
    </w:p>
    <w:p w14:paraId="1C56191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lang w:eastAsia="zh-CN"/>
        </w:rPr>
        <w:t>部门整体</w:t>
      </w:r>
      <w:r>
        <w:rPr>
          <w:rFonts w:hint="eastAsia" w:ascii="黑体" w:hAnsi="黑体" w:eastAsia="黑体"/>
          <w:sz w:val="32"/>
          <w:szCs w:val="32"/>
        </w:rPr>
        <w:t>绩效目标完成情况。</w:t>
      </w:r>
    </w:p>
    <w:p w14:paraId="5FD6849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3" w:firstLineChars="200"/>
        <w:jc w:val="both"/>
        <w:textAlignment w:val="auto"/>
        <w:rPr>
          <w:rFonts w:hint="eastAsia" w:ascii="楷体_GB2312" w:hAnsi="仿宋" w:eastAsia="楷体_GB2312"/>
          <w:b/>
          <w:sz w:val="32"/>
          <w:szCs w:val="32"/>
        </w:rPr>
      </w:pPr>
      <w:r>
        <w:rPr>
          <w:rFonts w:hint="eastAsia" w:ascii="楷体_GB2312" w:hAnsi="仿宋" w:eastAsia="楷体_GB2312"/>
          <w:b/>
          <w:sz w:val="32"/>
          <w:szCs w:val="32"/>
          <w:lang w:eastAsia="zh-CN"/>
        </w:rPr>
        <w:t>（一）</w:t>
      </w:r>
      <w:r>
        <w:rPr>
          <w:rFonts w:hint="eastAsia" w:ascii="楷体_GB2312" w:hAnsi="仿宋" w:eastAsia="楷体_GB2312"/>
          <w:b/>
          <w:sz w:val="32"/>
          <w:szCs w:val="32"/>
        </w:rPr>
        <w:t>概述</w:t>
      </w:r>
      <w:r>
        <w:rPr>
          <w:rFonts w:hint="eastAsia" w:ascii="楷体_GB2312" w:hAnsi="仿宋" w:eastAsia="楷体_GB2312"/>
          <w:b/>
          <w:sz w:val="32"/>
          <w:szCs w:val="32"/>
          <w:lang w:eastAsia="zh-CN"/>
        </w:rPr>
        <w:t>部门整体</w:t>
      </w:r>
      <w:r>
        <w:rPr>
          <w:rFonts w:hint="eastAsia" w:ascii="楷体_GB2312" w:hAnsi="仿宋" w:eastAsia="楷体_GB2312"/>
          <w:b/>
          <w:sz w:val="32"/>
          <w:szCs w:val="32"/>
        </w:rPr>
        <w:t>绩效目标完成情况。</w:t>
      </w:r>
    </w:p>
    <w:p w14:paraId="5E8B395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2023年度，按照“谁申请资金，谁设置目标”的原则，纳入部门预算管理的部门整体支出1个，按规定随年度预算一并公开项目1个，公开率为 100%。</w:t>
      </w:r>
    </w:p>
    <w:p w14:paraId="7D64C22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FF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2023年度整体支出绩效目标资金总额966.37万元，其中财政拨款966.37万元，用于工资福利支出665.48万元，商品和服务支出128.29万元，对个人和家庭补助支出16.19万元，其他资本性支出156.41万元。</w:t>
      </w:r>
    </w:p>
    <w:p w14:paraId="5C3FEAB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b/>
          <w:sz w:val="32"/>
          <w:szCs w:val="32"/>
          <w:lang w:eastAsia="zh-CN"/>
        </w:rPr>
        <w:t>（二）整体支出绩效目标实现情况。</w:t>
      </w:r>
    </w:p>
    <w:p w14:paraId="49F69CB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2023年7月，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对职工工资福利支出、机关运行情况、项目建设用地征迁情况，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组织开展1-6月绩效运行监控 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部门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项目的 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资金未兑付不及时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。开展1-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月绩效运行监控项目 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个，占本部门（单位）项目的 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%。截至1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月底，如期完成预算执行和绩效目标指标值的项目 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个，完成率为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%。</w:t>
      </w:r>
    </w:p>
    <w:p w14:paraId="06E38D8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b/>
          <w:sz w:val="32"/>
          <w:szCs w:val="32"/>
          <w:lang w:eastAsia="zh-CN"/>
        </w:rPr>
        <w:t>（三）部门整体绩效目标效果情况。</w:t>
      </w:r>
    </w:p>
    <w:p w14:paraId="6E9B823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年完成财政预算收支966.37万元，主要从预决算编制开始、严格程序、都达到准确、完整、及时公开；结合履职效果，抓工作效率及时效，促工作落实情况。争取受到人民群众满意和社会满意，接受人大代表的监督。通过对预算的绩效目标管理，保障了财供人员法定基本工资和津补贴收入，保障了资金承受对象的利益，保证机构工作正常运转，符合公共机构节能规定，维护了社会和谐稳定。</w:t>
      </w:r>
    </w:p>
    <w:p w14:paraId="1E81B1E4">
      <w:pPr>
        <w:keepNext w:val="0"/>
        <w:keepLines w:val="0"/>
        <w:pageBreakBefore w:val="0"/>
        <w:widowControl/>
        <w:numPr>
          <w:ilvl w:val="0"/>
          <w:numId w:val="2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_GB2312" w:hAnsi="仿宋" w:eastAsia="楷体_GB2312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当年预算执行及绩效管理中存在问题、原因及改进措施。</w:t>
      </w:r>
    </w:p>
    <w:p w14:paraId="6E7C04AA">
      <w:pPr>
        <w:keepNext w:val="0"/>
        <w:keepLines w:val="0"/>
        <w:pageBreakBefore w:val="0"/>
        <w:widowControl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b/>
          <w:sz w:val="32"/>
          <w:szCs w:val="32"/>
          <w:lang w:val="en-US" w:eastAsia="zh-CN"/>
        </w:rPr>
        <w:t>（一）存在问题</w:t>
      </w:r>
    </w:p>
    <w:p w14:paraId="140A7C39">
      <w:pPr>
        <w:keepNext w:val="0"/>
        <w:keepLines w:val="0"/>
        <w:pageBreakBefore w:val="0"/>
        <w:widowControl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商品和服务支出预算经费紧缺，需要增加预算。</w:t>
      </w:r>
    </w:p>
    <w:p w14:paraId="1B993EC4">
      <w:pPr>
        <w:keepNext w:val="0"/>
        <w:keepLines w:val="0"/>
        <w:pageBreakBefore w:val="0"/>
        <w:widowControl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2.绩效管理有待加强。在绩效目标的设立、内容的完整、项目指标的选用有待加强和完善。</w:t>
      </w:r>
    </w:p>
    <w:p w14:paraId="6C9E9903">
      <w:pPr>
        <w:keepNext w:val="0"/>
        <w:keepLines w:val="0"/>
        <w:pageBreakBefore w:val="0"/>
        <w:widowControl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b/>
          <w:sz w:val="32"/>
          <w:szCs w:val="32"/>
          <w:lang w:val="en-US" w:eastAsia="zh-CN"/>
        </w:rPr>
        <w:t>（二）下一步整改措施</w:t>
      </w:r>
    </w:p>
    <w:p w14:paraId="61688562">
      <w:pPr>
        <w:keepNext w:val="0"/>
        <w:keepLines w:val="0"/>
        <w:pageBreakBefore w:val="0"/>
        <w:widowControl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1、</w:t>
      </w:r>
      <w:r>
        <w:rPr>
          <w:rFonts w:hint="default" w:ascii="仿宋_GB2312" w:hAnsi="仿宋" w:eastAsia="仿宋_GB2312"/>
          <w:b/>
          <w:bCs/>
          <w:sz w:val="32"/>
          <w:szCs w:val="32"/>
          <w:lang w:val="en-US" w:eastAsia="zh-CN"/>
        </w:rPr>
        <w:t>适当增加经费预算。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我乡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的职能和职责，承担着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农村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经济运行监管、重点项目推进、企业入统、工业用电协调、产业集群培育、工业信息化、招商引资、创建、扶贫等工作，公用经费使用量大，为了更好的开展工作，完成各项工作任务，适当增加预算资金，以确保各项工作的开展。</w:t>
      </w:r>
    </w:p>
    <w:p w14:paraId="29FE4859">
      <w:pPr>
        <w:keepNext w:val="0"/>
        <w:keepLines w:val="0"/>
        <w:pageBreakBefore w:val="0"/>
        <w:widowControl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2、</w:t>
      </w:r>
      <w:r>
        <w:rPr>
          <w:rFonts w:hint="default" w:ascii="仿宋_GB2312" w:hAnsi="仿宋" w:eastAsia="仿宋_GB2312"/>
          <w:b/>
          <w:bCs/>
          <w:sz w:val="32"/>
          <w:szCs w:val="32"/>
          <w:lang w:val="en-US" w:eastAsia="zh-CN"/>
        </w:rPr>
        <w:t>加强绩效管理。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健全相关制度，明确管理部门和人员，逐步规范绩效目标编制，加强绩效跟踪监控，提升绩效评价质量，提高财政资金使用效率。</w:t>
      </w:r>
    </w:p>
    <w:p w14:paraId="4BBA4AD3">
      <w:pPr>
        <w:keepNext w:val="0"/>
        <w:keepLines w:val="0"/>
        <w:pageBreakBefore w:val="0"/>
        <w:tabs>
          <w:tab w:val="left" w:pos="651"/>
        </w:tabs>
        <w:kinsoku/>
        <w:wordWrap/>
        <w:topLinePunct w:val="0"/>
        <w:bidi w:val="0"/>
        <w:adjustRightInd/>
        <w:snapToGrid w:val="0"/>
        <w:spacing w:line="600" w:lineRule="exact"/>
        <w:ind w:left="0" w:leftChars="0"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ab/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四、绩效自评结果拟应用及公开情况</w:t>
      </w:r>
    </w:p>
    <w:p w14:paraId="54EE8B5E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bidi w:val="0"/>
        <w:adjustRightInd/>
        <w:snapToGrid w:val="0"/>
        <w:spacing w:line="600" w:lineRule="exact"/>
        <w:ind w:left="0" w:leftChars="0"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b/>
          <w:sz w:val="32"/>
          <w:szCs w:val="32"/>
          <w:lang w:val="en-US" w:eastAsia="zh-CN"/>
        </w:rPr>
        <w:t>（一）绩效自评结果</w:t>
      </w:r>
    </w:p>
    <w:p w14:paraId="2EB961E2">
      <w:pPr>
        <w:keepNext w:val="0"/>
        <w:keepLines w:val="0"/>
        <w:pageBreakBefore w:val="0"/>
        <w:kinsoku/>
        <w:wordWrap/>
        <w:topLinePunct w:val="0"/>
        <w:bidi w:val="0"/>
        <w:adjustRightInd/>
        <w:snapToGrid w:val="0"/>
        <w:spacing w:line="600" w:lineRule="exact"/>
        <w:ind w:left="0" w:leftChars="0"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整体部门支出绩效评价，以结果为导向，重点围绕整体部门支出的目标管理、履职效果、能力建设度三个方面设计指标体系，进行评价分析。通过《整体绩效支出目标自评表》进行评价打分。根据各项指标的完成情况，相关人员对整体部门支出的评价，进行评分。预算编制完整、准确，做到预算收入、预算科目、专项业务费细化和分类填报符合预算编制要求，从履职效果情况及能力建设程度三方面进行综合客观的评价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等级：优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。</w:t>
      </w:r>
    </w:p>
    <w:p w14:paraId="318526F9">
      <w:pPr>
        <w:pStyle w:val="3"/>
        <w:keepNext w:val="0"/>
        <w:keepLines w:val="0"/>
        <w:pageBreakBefore w:val="0"/>
        <w:kinsoku/>
        <w:wordWrap/>
        <w:topLinePunct w:val="0"/>
        <w:bidi w:val="0"/>
        <w:adjustRightInd/>
        <w:spacing w:line="6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 w14:paraId="00226EFD">
      <w:pPr>
        <w:pStyle w:val="4"/>
        <w:keepNext w:val="0"/>
        <w:keepLines w:val="0"/>
        <w:pageBreakBefore w:val="0"/>
        <w:kinsoku/>
        <w:wordWrap/>
        <w:topLinePunct w:val="0"/>
        <w:bidi w:val="0"/>
        <w:adjustRightInd/>
        <w:spacing w:line="6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 w14:paraId="0BEC0886">
      <w:pPr>
        <w:keepNext w:val="0"/>
        <w:keepLines w:val="0"/>
        <w:pageBreakBefore w:val="0"/>
        <w:kinsoku/>
        <w:wordWrap/>
        <w:topLinePunct w:val="0"/>
        <w:bidi w:val="0"/>
        <w:adjustRightInd/>
        <w:spacing w:line="600" w:lineRule="exact"/>
        <w:ind w:firstLine="3150" w:firstLineChars="1500"/>
        <w:textAlignment w:val="auto"/>
        <w:rPr>
          <w:rFonts w:hint="default"/>
          <w:lang w:val="en-US" w:eastAsia="zh-CN"/>
        </w:rPr>
      </w:pPr>
      <w:bookmarkStart w:id="1" w:name="_GoBack"/>
      <w:bookmarkEnd w:id="1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3D25F0"/>
    <w:multiLevelType w:val="singleLevel"/>
    <w:tmpl w:val="A83D25F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EE92F3B"/>
    <w:multiLevelType w:val="singleLevel"/>
    <w:tmpl w:val="AEE92F3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3ZDNmNzdjZTk4ZmI0YmU2YzQ2ZTE3NDlhMjE4ZDcifQ=="/>
  </w:docVars>
  <w:rsids>
    <w:rsidRoot w:val="47C95699"/>
    <w:rsid w:val="0423435A"/>
    <w:rsid w:val="0DA32832"/>
    <w:rsid w:val="0F044E32"/>
    <w:rsid w:val="14162B9B"/>
    <w:rsid w:val="1A7176E9"/>
    <w:rsid w:val="1A8A0F1E"/>
    <w:rsid w:val="20C067BC"/>
    <w:rsid w:val="24A348E6"/>
    <w:rsid w:val="2E383E35"/>
    <w:rsid w:val="2E7D52B1"/>
    <w:rsid w:val="3550240F"/>
    <w:rsid w:val="35A2636C"/>
    <w:rsid w:val="37DB53E0"/>
    <w:rsid w:val="38E37535"/>
    <w:rsid w:val="3E1F6D5D"/>
    <w:rsid w:val="465E667C"/>
    <w:rsid w:val="47C95699"/>
    <w:rsid w:val="593135D1"/>
    <w:rsid w:val="61972A36"/>
    <w:rsid w:val="66936071"/>
    <w:rsid w:val="71C736A2"/>
    <w:rsid w:val="7281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3"/>
    <w:qFormat/>
    <w:uiPriority w:val="0"/>
    <w:pPr>
      <w:spacing w:after="120" w:line="480" w:lineRule="auto"/>
      <w:ind w:left="420" w:leftChars="200"/>
    </w:p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2"/>
    <w:basedOn w:val="1"/>
    <w:qFormat/>
    <w:uiPriority w:val="0"/>
    <w:pPr>
      <w:spacing w:after="120" w:afterLines="0" w:line="480" w:lineRule="auto"/>
    </w:pPr>
    <w:rPr>
      <w:rFonts w:ascii="Times New Roman" w:hAnsi="Times New Roman" w:eastAsia="宋体" w:cs="Times New Roman"/>
    </w:rPr>
  </w:style>
  <w:style w:type="paragraph" w:styleId="5">
    <w:name w:val="index 5"/>
    <w:basedOn w:val="1"/>
    <w:next w:val="1"/>
    <w:qFormat/>
    <w:uiPriority w:val="0"/>
    <w:pPr>
      <w:ind w:left="1680"/>
    </w:pPr>
  </w:style>
  <w:style w:type="paragraph" w:styleId="6">
    <w:name w:val="Normal (Web)"/>
    <w:basedOn w:val="1"/>
    <w:qFormat/>
    <w:uiPriority w:val="99"/>
    <w:pPr>
      <w:spacing w:before="100" w:beforeAutospacing="1" w:after="100" w:afterAutospacing="1"/>
    </w:pPr>
  </w:style>
  <w:style w:type="character" w:customStyle="1" w:styleId="9">
    <w:name w:val="NormalCharacter"/>
    <w:basedOn w:val="8"/>
    <w:link w:val="10"/>
    <w:autoRedefine/>
    <w:semiHidden/>
    <w:qFormat/>
    <w:uiPriority w:val="99"/>
  </w:style>
  <w:style w:type="paragraph" w:customStyle="1" w:styleId="10">
    <w:name w:val="UserStyle_4"/>
    <w:basedOn w:val="1"/>
    <w:link w:val="9"/>
    <w:autoRedefine/>
    <w:qFormat/>
    <w:uiPriority w:val="0"/>
    <w:pPr>
      <w:suppressLineNumbers/>
      <w:suppressAutoHyphens/>
      <w:bidi w:val="0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3437</Words>
  <Characters>3669</Characters>
  <Lines>0</Lines>
  <Paragraphs>0</Paragraphs>
  <TotalTime>204</TotalTime>
  <ScaleCrop>false</ScaleCrop>
  <LinksUpToDate>false</LinksUpToDate>
  <CharactersWithSpaces>3702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2024-05-09T02:54:00Z</dcterms:created>
  <dc:creator>Administrator</dc:creator>
  <cp:lastModifiedBy>了</cp:lastModifiedBy>
  <cp:lastPrinted>2024-09-10T03:50:12Z</cp:lastPrinted>
  <dcterms:modified xsi:type="dcterms:W3CDTF">2024-09-10T03:51:21Z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EE2BC6177BB34AF4ABC9119985AD3DDF_13</vt:lpwstr>
  </property>
</Properties>
</file>