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97657">
      <w:pPr>
        <w:spacing w:before="100" w:beforeLines="0" w:after="100" w:afterLines="0"/>
        <w:jc w:val="center"/>
        <w:rPr>
          <w:rFonts w:hint="eastAsia" w:ascii="宋体" w:hAnsi="宋体"/>
          <w:sz w:val="24"/>
          <w:szCs w:val="24"/>
          <w:lang w:val="zh-CN"/>
        </w:rPr>
      </w:pPr>
    </w:p>
    <w:p w14:paraId="363D0AF6">
      <w:pPr>
        <w:spacing w:before="100" w:beforeLines="0" w:after="100" w:afterLines="0"/>
        <w:jc w:val="center"/>
        <w:rPr>
          <w:rFonts w:hint="eastAsia" w:ascii="宋体" w:hAnsi="宋体"/>
          <w:sz w:val="24"/>
          <w:szCs w:val="24"/>
          <w:lang w:val="zh-CN"/>
        </w:rPr>
      </w:pPr>
    </w:p>
    <w:p w14:paraId="1A11A9F3">
      <w:pPr>
        <w:spacing w:before="100" w:beforeLines="0" w:after="100" w:afterLines="0"/>
        <w:jc w:val="center"/>
        <w:rPr>
          <w:rFonts w:hint="eastAsia" w:ascii="宋体" w:hAnsi="宋体"/>
          <w:sz w:val="24"/>
          <w:szCs w:val="24"/>
          <w:lang w:val="zh-CN"/>
        </w:rPr>
      </w:pPr>
    </w:p>
    <w:p w14:paraId="78999B15">
      <w:pPr>
        <w:spacing w:before="100" w:beforeLines="0" w:after="100" w:afterLines="0"/>
        <w:jc w:val="center"/>
        <w:rPr>
          <w:rFonts w:hint="eastAsia" w:ascii="宋体" w:hAnsi="宋体"/>
          <w:sz w:val="24"/>
          <w:szCs w:val="24"/>
          <w:lang w:val="zh-CN"/>
        </w:rPr>
      </w:pPr>
    </w:p>
    <w:p w14:paraId="769F1F98">
      <w:pPr>
        <w:spacing w:before="100" w:beforeLines="0" w:after="100" w:afterLines="0"/>
        <w:jc w:val="center"/>
        <w:rPr>
          <w:rFonts w:hint="eastAsia" w:ascii="宋体" w:hAnsi="宋体"/>
          <w:sz w:val="24"/>
          <w:szCs w:val="24"/>
          <w:lang w:val="zh-CN"/>
        </w:rPr>
      </w:pPr>
    </w:p>
    <w:p w14:paraId="6EC5E259">
      <w:pPr>
        <w:spacing w:before="100" w:beforeLines="0" w:after="100" w:afterLines="0"/>
        <w:jc w:val="center"/>
        <w:rPr>
          <w:rFonts w:hint="eastAsia" w:ascii="宋体" w:hAnsi="宋体"/>
          <w:sz w:val="24"/>
          <w:szCs w:val="24"/>
          <w:lang w:val="zh-CN"/>
        </w:rPr>
      </w:pPr>
    </w:p>
    <w:p w14:paraId="69818AF1">
      <w:pPr>
        <w:spacing w:before="100" w:beforeLines="0" w:after="100" w:afterLines="0"/>
        <w:jc w:val="center"/>
        <w:rPr>
          <w:rFonts w:hint="eastAsia" w:ascii="宋体" w:hAnsi="宋体"/>
          <w:sz w:val="24"/>
          <w:szCs w:val="24"/>
          <w:lang w:val="zh-CN"/>
        </w:rPr>
      </w:pPr>
    </w:p>
    <w:p w14:paraId="1F22F0BC">
      <w:pPr>
        <w:spacing w:before="100" w:beforeLines="0" w:after="100" w:afterLines="0"/>
        <w:jc w:val="center"/>
        <w:rPr>
          <w:rFonts w:hint="eastAsia" w:ascii="宋体" w:hAnsi="宋体"/>
          <w:sz w:val="24"/>
          <w:szCs w:val="24"/>
          <w:lang w:val="zh-CN"/>
        </w:rPr>
      </w:pPr>
    </w:p>
    <w:p w14:paraId="5E387271">
      <w:pPr>
        <w:spacing w:before="100" w:beforeLines="0" w:after="100" w:afterLines="0"/>
        <w:jc w:val="center"/>
        <w:rPr>
          <w:rFonts w:hint="eastAsia" w:ascii="宋体" w:hAnsi="宋体"/>
          <w:sz w:val="24"/>
          <w:szCs w:val="24"/>
          <w:lang w:val="zh-CN"/>
        </w:rPr>
      </w:pPr>
    </w:p>
    <w:p w14:paraId="7CAB4A9A">
      <w:pPr>
        <w:spacing w:before="100" w:beforeLines="0" w:after="100" w:afterLines="0"/>
        <w:jc w:val="center"/>
        <w:rPr>
          <w:rFonts w:hint="eastAsia" w:ascii="宋体" w:hAnsi="宋体"/>
          <w:sz w:val="24"/>
          <w:szCs w:val="24"/>
          <w:lang w:val="zh-CN"/>
        </w:rPr>
      </w:pPr>
    </w:p>
    <w:p w14:paraId="5AE16D9A">
      <w:pPr>
        <w:spacing w:before="100" w:beforeLines="0" w:after="100" w:afterLines="0"/>
        <w:jc w:val="center"/>
        <w:rPr>
          <w:rFonts w:hint="eastAsia" w:ascii="宋体" w:hAnsi="宋体"/>
          <w:sz w:val="24"/>
          <w:szCs w:val="24"/>
          <w:lang w:val="zh-CN"/>
        </w:rPr>
      </w:pPr>
    </w:p>
    <w:p w14:paraId="16504F08">
      <w:pPr>
        <w:spacing w:before="100" w:beforeLines="0" w:after="100" w:afterLines="0"/>
        <w:jc w:val="center"/>
        <w:rPr>
          <w:rFonts w:hint="eastAsia" w:ascii="宋体" w:hAnsi="宋体"/>
          <w:sz w:val="24"/>
          <w:szCs w:val="24"/>
          <w:lang w:val="zh-CN"/>
        </w:rPr>
      </w:pPr>
    </w:p>
    <w:p w14:paraId="0B6C85C2">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6BA64C09">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华池县王咀子人民政府部门决算</w:t>
      </w:r>
    </w:p>
    <w:p w14:paraId="728385F2">
      <w:pPr>
        <w:spacing w:before="100" w:beforeLines="0" w:after="100" w:afterLines="0"/>
        <w:jc w:val="center"/>
        <w:rPr>
          <w:rFonts w:hint="eastAsia" w:ascii="宋体" w:hAnsi="宋体"/>
          <w:sz w:val="24"/>
          <w:szCs w:val="24"/>
          <w:lang w:val="zh-CN"/>
        </w:rPr>
      </w:pPr>
    </w:p>
    <w:p w14:paraId="1F57174A">
      <w:pPr>
        <w:spacing w:before="100" w:beforeLines="0" w:after="100" w:afterLines="0"/>
        <w:jc w:val="center"/>
        <w:rPr>
          <w:rFonts w:hint="eastAsia" w:ascii="宋体" w:hAnsi="宋体"/>
          <w:sz w:val="24"/>
          <w:szCs w:val="24"/>
          <w:lang w:val="zh-CN"/>
        </w:rPr>
      </w:pPr>
    </w:p>
    <w:p w14:paraId="33690BD4">
      <w:pPr>
        <w:spacing w:before="100" w:beforeLines="0" w:after="100" w:afterLines="0"/>
        <w:jc w:val="center"/>
        <w:rPr>
          <w:rFonts w:hint="eastAsia" w:ascii="宋体" w:hAnsi="宋体"/>
          <w:sz w:val="24"/>
          <w:szCs w:val="24"/>
          <w:lang w:val="zh-CN"/>
        </w:rPr>
      </w:pPr>
    </w:p>
    <w:p w14:paraId="1C22BFA9">
      <w:pPr>
        <w:spacing w:before="100" w:beforeLines="0" w:after="100" w:afterLines="0"/>
        <w:jc w:val="center"/>
        <w:rPr>
          <w:rFonts w:hint="eastAsia" w:ascii="宋体" w:hAnsi="宋体"/>
          <w:sz w:val="24"/>
          <w:szCs w:val="24"/>
          <w:lang w:val="zh-CN"/>
        </w:rPr>
      </w:pPr>
    </w:p>
    <w:p w14:paraId="641CE287">
      <w:pPr>
        <w:spacing w:before="100" w:beforeLines="0" w:after="100" w:afterLines="0"/>
        <w:jc w:val="center"/>
        <w:rPr>
          <w:rFonts w:hint="eastAsia" w:ascii="宋体" w:hAnsi="宋体"/>
          <w:sz w:val="24"/>
          <w:szCs w:val="24"/>
          <w:lang w:val="zh-CN"/>
        </w:rPr>
      </w:pPr>
    </w:p>
    <w:p w14:paraId="20A6F6D9">
      <w:pPr>
        <w:spacing w:before="100" w:beforeLines="0" w:after="100" w:afterLines="0"/>
        <w:jc w:val="center"/>
        <w:rPr>
          <w:rFonts w:hint="eastAsia" w:ascii="宋体" w:hAnsi="宋体"/>
          <w:sz w:val="24"/>
          <w:szCs w:val="24"/>
          <w:lang w:val="zh-CN"/>
        </w:rPr>
      </w:pPr>
    </w:p>
    <w:p w14:paraId="32BF318A">
      <w:pPr>
        <w:spacing w:before="100" w:beforeLines="0" w:after="100" w:afterLines="0"/>
        <w:jc w:val="center"/>
        <w:rPr>
          <w:rFonts w:hint="eastAsia" w:ascii="宋体" w:hAnsi="宋体"/>
          <w:sz w:val="24"/>
          <w:szCs w:val="24"/>
          <w:lang w:val="zh-CN"/>
        </w:rPr>
      </w:pPr>
    </w:p>
    <w:p w14:paraId="7A319CF6">
      <w:pPr>
        <w:spacing w:before="100" w:beforeLines="0" w:after="100" w:afterLines="0"/>
        <w:jc w:val="center"/>
        <w:rPr>
          <w:rFonts w:hint="eastAsia" w:ascii="宋体" w:hAnsi="宋体"/>
          <w:sz w:val="24"/>
          <w:szCs w:val="24"/>
          <w:lang w:val="zh-CN"/>
        </w:rPr>
      </w:pPr>
    </w:p>
    <w:p w14:paraId="3C31499E">
      <w:pPr>
        <w:spacing w:before="100" w:beforeLines="0" w:after="100" w:afterLines="0"/>
        <w:jc w:val="center"/>
        <w:rPr>
          <w:rFonts w:hint="eastAsia" w:ascii="宋体" w:hAnsi="宋体"/>
          <w:sz w:val="24"/>
          <w:szCs w:val="24"/>
          <w:lang w:val="zh-CN"/>
        </w:rPr>
      </w:pPr>
    </w:p>
    <w:p w14:paraId="2E8975B5">
      <w:pPr>
        <w:spacing w:before="100" w:beforeLines="0" w:after="100" w:afterLines="0"/>
        <w:jc w:val="center"/>
        <w:rPr>
          <w:rFonts w:hint="eastAsia" w:ascii="宋体" w:hAnsi="宋体"/>
          <w:sz w:val="24"/>
          <w:szCs w:val="24"/>
          <w:lang w:val="zh-CN"/>
        </w:rPr>
      </w:pPr>
    </w:p>
    <w:p w14:paraId="7D6CE514">
      <w:pPr>
        <w:spacing w:before="100" w:beforeLines="0" w:after="100" w:afterLines="0"/>
        <w:jc w:val="center"/>
        <w:rPr>
          <w:rFonts w:hint="eastAsia" w:ascii="宋体" w:hAnsi="宋体"/>
          <w:sz w:val="24"/>
          <w:szCs w:val="24"/>
          <w:lang w:val="zh-CN"/>
        </w:rPr>
      </w:pPr>
    </w:p>
    <w:p w14:paraId="4703E175">
      <w:pPr>
        <w:spacing w:before="100" w:beforeLines="0" w:after="100" w:afterLines="0"/>
        <w:jc w:val="center"/>
        <w:rPr>
          <w:rFonts w:hint="eastAsia" w:ascii="宋体" w:hAnsi="宋体"/>
          <w:sz w:val="24"/>
          <w:szCs w:val="24"/>
          <w:lang w:val="zh-CN"/>
        </w:rPr>
      </w:pPr>
    </w:p>
    <w:p w14:paraId="15AD7380">
      <w:pPr>
        <w:spacing w:before="100" w:beforeLines="0" w:after="100" w:afterLines="0"/>
        <w:jc w:val="center"/>
        <w:rPr>
          <w:rFonts w:hint="eastAsia" w:ascii="宋体" w:hAnsi="宋体"/>
          <w:sz w:val="24"/>
          <w:szCs w:val="24"/>
          <w:lang w:val="zh-CN"/>
        </w:rPr>
      </w:pPr>
    </w:p>
    <w:p w14:paraId="6F1F35F0">
      <w:pPr>
        <w:spacing w:before="100" w:beforeLines="0" w:after="100" w:afterLines="0"/>
        <w:jc w:val="center"/>
        <w:rPr>
          <w:rFonts w:hint="eastAsia" w:ascii="宋体" w:hAnsi="宋体"/>
          <w:sz w:val="24"/>
          <w:szCs w:val="24"/>
          <w:lang w:val="zh-CN"/>
        </w:rPr>
      </w:pPr>
    </w:p>
    <w:p w14:paraId="23AB13E3">
      <w:pPr>
        <w:spacing w:before="100" w:beforeLines="0" w:after="100" w:afterLines="0"/>
        <w:jc w:val="center"/>
        <w:rPr>
          <w:rFonts w:hint="eastAsia" w:ascii="宋体" w:hAnsi="宋体"/>
          <w:sz w:val="24"/>
          <w:szCs w:val="24"/>
          <w:lang w:val="zh-CN"/>
        </w:rPr>
      </w:pPr>
    </w:p>
    <w:p w14:paraId="3685C747">
      <w:pPr>
        <w:spacing w:before="100" w:beforeLines="0" w:after="100" w:afterLines="0"/>
        <w:jc w:val="center"/>
        <w:rPr>
          <w:rFonts w:hint="eastAsia" w:ascii="宋体" w:hAnsi="宋体"/>
          <w:sz w:val="24"/>
          <w:szCs w:val="24"/>
          <w:lang w:val="zh-CN"/>
        </w:rPr>
      </w:pPr>
    </w:p>
    <w:p w14:paraId="6E47AA69">
      <w:pPr>
        <w:spacing w:before="100" w:beforeLines="0" w:after="100" w:afterLines="0"/>
        <w:jc w:val="center"/>
        <w:rPr>
          <w:rFonts w:hint="eastAsia" w:ascii="宋体" w:hAnsi="宋体"/>
          <w:sz w:val="24"/>
          <w:szCs w:val="24"/>
          <w:lang w:val="zh-CN"/>
        </w:rPr>
      </w:pPr>
    </w:p>
    <w:p w14:paraId="52602FE1">
      <w:pPr>
        <w:spacing w:before="100" w:beforeLines="0" w:after="100" w:afterLines="0"/>
        <w:jc w:val="center"/>
        <w:rPr>
          <w:rFonts w:hint="eastAsia" w:ascii="宋体" w:hAnsi="宋体"/>
          <w:sz w:val="24"/>
          <w:szCs w:val="24"/>
          <w:lang w:val="zh-CN"/>
        </w:rPr>
      </w:pPr>
    </w:p>
    <w:p w14:paraId="5C74E389">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02A96625">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65FA1A2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5B7B43D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4284EFA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2A6C77D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614A77F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594D5D7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3FE6237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1D5D410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8491D2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47ED6D0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8DC1BF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032F68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07D8E416">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581179D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E3A2DC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54C4F6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3E89680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789D8C5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354F1FB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5F278791">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0539A4E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7B4EF60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75F278AA">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448C3BC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3C7302F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1530F52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269B5559">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17FF38D8">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21ED2AD4">
      <w:pPr>
        <w:spacing w:before="100" w:beforeLines="0" w:after="100" w:afterLines="0"/>
        <w:jc w:val="center"/>
        <w:rPr>
          <w:rFonts w:hint="eastAsia" w:ascii="宋体" w:hAnsi="宋体"/>
          <w:sz w:val="24"/>
          <w:szCs w:val="24"/>
          <w:lang w:val="zh-CN"/>
        </w:rPr>
      </w:pPr>
    </w:p>
    <w:p w14:paraId="37F22BC2">
      <w:pPr>
        <w:spacing w:before="100" w:beforeLines="0" w:after="100" w:afterLines="0"/>
        <w:jc w:val="center"/>
        <w:rPr>
          <w:rFonts w:hint="eastAsia" w:ascii="宋体" w:hAnsi="宋体"/>
          <w:sz w:val="24"/>
          <w:szCs w:val="24"/>
          <w:lang w:val="zh-CN"/>
        </w:rPr>
      </w:pPr>
    </w:p>
    <w:p w14:paraId="681D6E8D">
      <w:pPr>
        <w:spacing w:before="100" w:beforeLines="0" w:after="100" w:afterLines="0"/>
        <w:jc w:val="center"/>
        <w:rPr>
          <w:rFonts w:hint="eastAsia" w:ascii="宋体" w:hAnsi="宋体"/>
          <w:sz w:val="24"/>
          <w:szCs w:val="24"/>
          <w:lang w:val="zh-CN"/>
        </w:rPr>
      </w:pPr>
    </w:p>
    <w:p w14:paraId="65BDEF35">
      <w:pPr>
        <w:spacing w:before="100" w:beforeLines="0" w:after="100" w:afterLines="0"/>
        <w:jc w:val="center"/>
        <w:rPr>
          <w:rFonts w:hint="eastAsia" w:ascii="宋体" w:hAnsi="宋体"/>
          <w:sz w:val="24"/>
          <w:szCs w:val="24"/>
          <w:lang w:val="zh-CN"/>
        </w:rPr>
      </w:pPr>
    </w:p>
    <w:p w14:paraId="3693F0F2">
      <w:pPr>
        <w:spacing w:before="100" w:beforeLines="0" w:after="100" w:afterLines="0"/>
        <w:jc w:val="center"/>
        <w:rPr>
          <w:rFonts w:hint="eastAsia" w:ascii="宋体" w:hAnsi="宋体"/>
          <w:sz w:val="24"/>
          <w:szCs w:val="24"/>
          <w:lang w:val="zh-CN"/>
        </w:rPr>
      </w:pPr>
    </w:p>
    <w:p w14:paraId="3A18833C">
      <w:pPr>
        <w:spacing w:before="100" w:beforeLines="0" w:after="100" w:afterLines="0"/>
        <w:jc w:val="center"/>
        <w:rPr>
          <w:rFonts w:hint="eastAsia" w:ascii="宋体" w:hAnsi="宋体"/>
          <w:sz w:val="24"/>
          <w:szCs w:val="24"/>
          <w:lang w:val="zh-CN"/>
        </w:rPr>
      </w:pPr>
    </w:p>
    <w:p w14:paraId="3A218136">
      <w:pPr>
        <w:spacing w:before="100" w:beforeLines="0" w:after="100" w:afterLines="0"/>
        <w:jc w:val="center"/>
        <w:rPr>
          <w:rFonts w:hint="eastAsia" w:ascii="宋体" w:hAnsi="宋体"/>
          <w:sz w:val="24"/>
          <w:szCs w:val="24"/>
          <w:lang w:val="zh-CN"/>
        </w:rPr>
      </w:pPr>
    </w:p>
    <w:p w14:paraId="5224CEFE">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4D64CD2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7BBFF18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eastAsia" w:ascii="宋体" w:hAnsi="宋体" w:eastAsia="宋体" w:cstheme="minorBidi"/>
          <w:color w:val="auto"/>
          <w:kern w:val="2"/>
          <w:sz w:val="24"/>
          <w:szCs w:val="24"/>
          <w:lang w:val="en-US" w:eastAsia="zh-CN"/>
        </w:rPr>
        <w:t>王咀子乡人民政府是领导和管理经济、教育、科学、文化、社会事业等工作的职能部门。主要职责是:</w:t>
      </w:r>
    </w:p>
    <w:p w14:paraId="52D6B0E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1.</w:t>
      </w:r>
      <w:r>
        <w:rPr>
          <w:rFonts w:hint="default" w:ascii="宋体" w:hAnsi="宋体" w:eastAsia="宋体" w:cstheme="minorBidi"/>
          <w:color w:val="auto"/>
          <w:kern w:val="2"/>
          <w:sz w:val="24"/>
          <w:szCs w:val="24"/>
          <w:lang w:val="en-US" w:eastAsia="zh-CN"/>
        </w:rPr>
        <w:t>贯彻执行党的路线、方针、政策和国家法律法规，贯彻执行上级行政机关的决议、命令及</w:t>
      </w:r>
      <w:r>
        <w:rPr>
          <w:rFonts w:hint="eastAsia" w:ascii="宋体" w:hAnsi="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党委的决定，执行</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人民代表大会的决议</w:t>
      </w:r>
      <w:r>
        <w:rPr>
          <w:rFonts w:hint="eastAsia" w:ascii="宋体" w:hAnsi="宋体" w:eastAsia="宋体" w:cstheme="minorBidi"/>
          <w:color w:val="auto"/>
          <w:kern w:val="2"/>
          <w:sz w:val="24"/>
          <w:szCs w:val="24"/>
          <w:lang w:val="en-US" w:eastAsia="zh-CN"/>
        </w:rPr>
        <w:t>；</w:t>
      </w:r>
    </w:p>
    <w:p w14:paraId="1FE5046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2.</w:t>
      </w:r>
      <w:r>
        <w:rPr>
          <w:rFonts w:hint="default" w:ascii="宋体" w:hAnsi="宋体" w:eastAsia="宋体" w:cstheme="minorBidi"/>
          <w:color w:val="auto"/>
          <w:kern w:val="2"/>
          <w:sz w:val="24"/>
          <w:szCs w:val="24"/>
          <w:lang w:val="en-US" w:eastAsia="zh-CN"/>
        </w:rPr>
        <w:t>对</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人民代表大会及其主席团和县政府负责并报告工作</w:t>
      </w:r>
      <w:r>
        <w:rPr>
          <w:rFonts w:hint="eastAsia" w:ascii="宋体" w:hAnsi="宋体" w:eastAsia="宋体" w:cstheme="minorBidi"/>
          <w:color w:val="auto"/>
          <w:kern w:val="2"/>
          <w:sz w:val="24"/>
          <w:szCs w:val="24"/>
          <w:lang w:val="en-US" w:eastAsia="zh-CN"/>
        </w:rPr>
        <w:t>；</w:t>
      </w:r>
    </w:p>
    <w:p w14:paraId="0837F7A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3.</w:t>
      </w:r>
      <w:r>
        <w:rPr>
          <w:rFonts w:hint="default" w:ascii="宋体" w:hAnsi="宋体" w:eastAsia="宋体" w:cstheme="minorBidi"/>
          <w:color w:val="auto"/>
          <w:kern w:val="2"/>
          <w:sz w:val="24"/>
          <w:szCs w:val="24"/>
          <w:lang w:val="en-US" w:eastAsia="zh-CN"/>
        </w:rPr>
        <w:t>编制和执行国民经济和社会发展计划，编制并执行财政预算</w:t>
      </w:r>
      <w:r>
        <w:rPr>
          <w:rFonts w:hint="eastAsia" w:ascii="宋体" w:hAnsi="宋体" w:eastAsia="宋体" w:cstheme="minorBidi"/>
          <w:color w:val="auto"/>
          <w:kern w:val="2"/>
          <w:sz w:val="24"/>
          <w:szCs w:val="24"/>
          <w:lang w:val="en-US" w:eastAsia="zh-CN"/>
        </w:rPr>
        <w:t>；</w:t>
      </w:r>
    </w:p>
    <w:p w14:paraId="11F41B9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4.</w:t>
      </w:r>
      <w:r>
        <w:rPr>
          <w:rFonts w:hint="default" w:ascii="宋体" w:hAnsi="宋体" w:eastAsia="宋体" w:cstheme="minorBidi"/>
          <w:color w:val="auto"/>
          <w:kern w:val="2"/>
          <w:sz w:val="24"/>
          <w:szCs w:val="24"/>
          <w:lang w:val="en-US" w:eastAsia="zh-CN"/>
        </w:rPr>
        <w:t>管理经济和各项社会事业的行政工作</w:t>
      </w:r>
      <w:r>
        <w:rPr>
          <w:rFonts w:hint="eastAsia" w:ascii="宋体" w:hAnsi="宋体" w:eastAsia="宋体" w:cstheme="minorBidi"/>
          <w:color w:val="auto"/>
          <w:kern w:val="2"/>
          <w:sz w:val="24"/>
          <w:szCs w:val="24"/>
          <w:lang w:val="en-US" w:eastAsia="zh-CN"/>
        </w:rPr>
        <w:t>；</w:t>
      </w:r>
    </w:p>
    <w:p w14:paraId="778ECF55">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5.</w:t>
      </w:r>
      <w:r>
        <w:rPr>
          <w:rFonts w:hint="default" w:ascii="宋体" w:hAnsi="宋体" w:eastAsia="宋体" w:cstheme="minorBidi"/>
          <w:color w:val="auto"/>
          <w:kern w:val="2"/>
          <w:sz w:val="24"/>
          <w:szCs w:val="24"/>
          <w:lang w:val="en-US" w:eastAsia="zh-CN"/>
        </w:rPr>
        <w:t>负责</w:t>
      </w:r>
      <w:r>
        <w:rPr>
          <w:rFonts w:hint="eastAsia" w:ascii="宋体" w:hAnsi="宋体" w:eastAsia="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行政执法工作，维护社会秩序，保护公民人身、民主、财产等合法权利，保护各种经济组织的合法权益</w:t>
      </w:r>
      <w:r>
        <w:rPr>
          <w:rFonts w:hint="eastAsia" w:ascii="宋体" w:hAnsi="宋体" w:eastAsia="宋体" w:cstheme="minorBidi"/>
          <w:color w:val="auto"/>
          <w:kern w:val="2"/>
          <w:sz w:val="24"/>
          <w:szCs w:val="24"/>
          <w:lang w:val="en-US" w:eastAsia="zh-CN"/>
        </w:rPr>
        <w:t>；</w:t>
      </w:r>
    </w:p>
    <w:p w14:paraId="522790C0">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6.</w:t>
      </w:r>
      <w:r>
        <w:rPr>
          <w:rFonts w:hint="default" w:ascii="宋体" w:hAnsi="宋体" w:eastAsia="宋体" w:cstheme="minorBidi"/>
          <w:color w:val="auto"/>
          <w:kern w:val="2"/>
          <w:sz w:val="24"/>
          <w:szCs w:val="24"/>
          <w:lang w:val="en-US" w:eastAsia="zh-CN"/>
        </w:rPr>
        <w:t>支持和帮助村民委员会工作</w:t>
      </w:r>
      <w:r>
        <w:rPr>
          <w:rFonts w:hint="eastAsia" w:ascii="宋体" w:hAnsi="宋体" w:eastAsia="宋体" w:cstheme="minorBidi"/>
          <w:color w:val="auto"/>
          <w:kern w:val="2"/>
          <w:sz w:val="24"/>
          <w:szCs w:val="24"/>
          <w:lang w:val="en-US" w:eastAsia="zh-CN"/>
        </w:rPr>
        <w:t>；</w:t>
      </w:r>
    </w:p>
    <w:p w14:paraId="7CE5EEF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eastAsia" w:ascii="宋体" w:hAnsi="宋体" w:eastAsia="宋体" w:cstheme="minorBidi"/>
          <w:color w:val="auto"/>
          <w:kern w:val="2"/>
          <w:sz w:val="24"/>
          <w:szCs w:val="24"/>
          <w:lang w:val="en-US" w:eastAsia="zh-CN"/>
        </w:rPr>
      </w:pPr>
      <w:r>
        <w:rPr>
          <w:rFonts w:hint="default" w:ascii="宋体" w:hAnsi="宋体" w:cstheme="minorBidi"/>
          <w:color w:val="auto"/>
          <w:kern w:val="2"/>
          <w:sz w:val="24"/>
          <w:szCs w:val="24"/>
          <w:lang w:val="en-US" w:eastAsia="zh-CN"/>
        </w:rPr>
        <w:t>7.</w:t>
      </w:r>
      <w:r>
        <w:rPr>
          <w:rFonts w:hint="default" w:ascii="宋体" w:hAnsi="宋体" w:eastAsia="宋体" w:cstheme="minorBidi"/>
          <w:color w:val="auto"/>
          <w:kern w:val="2"/>
          <w:sz w:val="24"/>
          <w:szCs w:val="24"/>
          <w:lang w:val="en-US" w:eastAsia="zh-CN"/>
        </w:rPr>
        <w:t>法律规定的其他职责。</w:t>
      </w:r>
    </w:p>
    <w:p w14:paraId="4A71EC0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43A0DCBD">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480" w:firstLineChars="200"/>
        <w:rPr>
          <w:rFonts w:hint="default" w:ascii="宋体" w:hAnsi="宋体" w:eastAsia="宋体" w:cstheme="minorBidi"/>
          <w:color w:val="auto"/>
          <w:kern w:val="2"/>
          <w:sz w:val="24"/>
          <w:szCs w:val="24"/>
          <w:lang w:val="en-US" w:eastAsia="zh-CN"/>
        </w:rPr>
      </w:pPr>
      <w:r>
        <w:rPr>
          <w:rFonts w:hint="eastAsia" w:ascii="宋体" w:hAnsi="宋体" w:eastAsia="宋体" w:cstheme="minorBidi"/>
          <w:color w:val="auto"/>
          <w:kern w:val="2"/>
          <w:sz w:val="24"/>
          <w:szCs w:val="24"/>
          <w:lang w:val="en-US" w:eastAsia="zh-CN"/>
        </w:rPr>
        <w:t>王咀子乡人民政府内设4个党政机构</w:t>
      </w:r>
      <w:r>
        <w:rPr>
          <w:rFonts w:hint="default" w:ascii="宋体" w:hAnsi="宋体" w:eastAsia="宋体" w:cstheme="minorBidi"/>
          <w:color w:val="auto"/>
          <w:kern w:val="2"/>
          <w:sz w:val="24"/>
          <w:szCs w:val="24"/>
          <w:lang w:val="en-US" w:eastAsia="zh-CN"/>
        </w:rPr>
        <w:t>（1.党政综合办公室负责乡</w:t>
      </w:r>
      <w:r>
        <w:rPr>
          <w:rFonts w:hint="eastAsia" w:ascii="宋体" w:hAnsi="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党委、人大、政府日常工作和组织人事机构编制工作；2.</w:t>
      </w:r>
      <w:r>
        <w:rPr>
          <w:rFonts w:hint="eastAsia" w:ascii="宋体" w:hAnsi="宋体" w:eastAsia="宋体" w:cstheme="minorBidi"/>
          <w:color w:val="auto"/>
          <w:kern w:val="2"/>
          <w:sz w:val="24"/>
          <w:szCs w:val="24"/>
          <w:lang w:val="en-US" w:eastAsia="zh-CN"/>
        </w:rPr>
        <w:t>党建</w:t>
      </w:r>
      <w:r>
        <w:rPr>
          <w:rFonts w:hint="default" w:ascii="宋体" w:hAnsi="宋体" w:eastAsia="宋体" w:cstheme="minorBidi"/>
          <w:color w:val="auto"/>
          <w:kern w:val="2"/>
          <w:sz w:val="24"/>
          <w:szCs w:val="24"/>
          <w:lang w:val="en-US" w:eastAsia="zh-CN"/>
        </w:rPr>
        <w:t>办公室负责乡</w:t>
      </w:r>
      <w:r>
        <w:rPr>
          <w:rFonts w:hint="eastAsia" w:ascii="宋体" w:hAnsi="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机关党务、纪检和党风廉政建设、宣传工作；</w:t>
      </w:r>
      <w:r>
        <w:rPr>
          <w:rFonts w:hint="eastAsia" w:ascii="宋体" w:hAnsi="宋体" w:eastAsia="宋体" w:cstheme="minorBidi"/>
          <w:color w:val="auto"/>
          <w:kern w:val="2"/>
          <w:sz w:val="24"/>
          <w:szCs w:val="24"/>
          <w:lang w:val="en-US" w:eastAsia="zh-CN"/>
        </w:rPr>
        <w:t>3、经济发展和社会事务办公室</w:t>
      </w:r>
      <w:r>
        <w:rPr>
          <w:rFonts w:hint="default" w:ascii="宋体" w:hAnsi="宋体" w:eastAsia="宋体" w:cstheme="minorBidi"/>
          <w:color w:val="auto"/>
          <w:kern w:val="2"/>
          <w:sz w:val="24"/>
          <w:szCs w:val="24"/>
          <w:lang w:val="en-US" w:eastAsia="zh-CN"/>
        </w:rPr>
        <w:t>负责经济发展规划的制定和落实，第一、二、三产业的指导、管理工作</w:t>
      </w:r>
      <w:r>
        <w:rPr>
          <w:rFonts w:hint="eastAsia" w:ascii="宋体" w:hAnsi="宋体" w:eastAsia="宋体" w:cstheme="minorBidi"/>
          <w:color w:val="auto"/>
          <w:kern w:val="2"/>
          <w:sz w:val="24"/>
          <w:szCs w:val="24"/>
          <w:lang w:val="en-US" w:eastAsia="zh-CN"/>
        </w:rPr>
        <w:t>；4、社会治理和应急管理办公室负责治安防控体系建设、平安创建活动工作，负责网格化管理、网络信息技术平台建设维护等工作。</w:t>
      </w:r>
      <w:r>
        <w:rPr>
          <w:rFonts w:hint="default" w:ascii="宋体" w:hAnsi="宋体" w:eastAsia="宋体" w:cstheme="minorBidi"/>
          <w:color w:val="auto"/>
          <w:kern w:val="2"/>
          <w:sz w:val="24"/>
          <w:szCs w:val="24"/>
          <w:lang w:val="en-US" w:eastAsia="zh-CN"/>
        </w:rPr>
        <w:t>并设置</w:t>
      </w:r>
      <w:r>
        <w:rPr>
          <w:rFonts w:hint="eastAsia" w:ascii="宋体" w:hAnsi="宋体" w:eastAsia="宋体" w:cstheme="minorBidi"/>
          <w:color w:val="auto"/>
          <w:kern w:val="2"/>
          <w:sz w:val="24"/>
          <w:szCs w:val="24"/>
          <w:lang w:val="en-US" w:eastAsia="zh-CN"/>
        </w:rPr>
        <w:t>5</w:t>
      </w:r>
      <w:r>
        <w:rPr>
          <w:rFonts w:hint="default" w:ascii="宋体" w:hAnsi="宋体" w:eastAsia="宋体" w:cstheme="minorBidi"/>
          <w:color w:val="auto"/>
          <w:kern w:val="2"/>
          <w:sz w:val="24"/>
          <w:szCs w:val="24"/>
          <w:lang w:val="en-US" w:eastAsia="zh-CN"/>
        </w:rPr>
        <w:t>个事业机构，分别为农业服务中心负责宣传贯彻农业农村相关法律、法规、政策</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农业技术推广应用与指导，动植物病虫害、疫情的监测与防治，农产品质量监管服务；公共事务服务中心负责辖区内社会救助，公共卫生文化体育环境整治等公共服务工作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居民最低生活保障对象的调查、申报工作；</w:t>
      </w:r>
      <w:r>
        <w:rPr>
          <w:rFonts w:hint="eastAsia" w:ascii="宋体" w:hAnsi="宋体" w:eastAsia="宋体" w:cstheme="minorBidi"/>
          <w:color w:val="auto"/>
          <w:kern w:val="2"/>
          <w:sz w:val="24"/>
          <w:szCs w:val="24"/>
          <w:lang w:val="en-US" w:eastAsia="zh-CN"/>
        </w:rPr>
        <w:t>政务（便民）服务中心</w:t>
      </w:r>
      <w:r>
        <w:rPr>
          <w:rFonts w:hint="default" w:ascii="宋体" w:hAnsi="宋体" w:eastAsia="宋体" w:cstheme="minorBidi"/>
          <w:color w:val="auto"/>
          <w:kern w:val="2"/>
          <w:sz w:val="24"/>
          <w:szCs w:val="24"/>
          <w:lang w:val="en-US" w:eastAsia="zh-CN"/>
        </w:rPr>
        <w:t>负责为群众提供公共服务，宣传贯彻相关政策方针</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劳动就业、残疾人事业和基本养老、医疗、工伤、失业等社会保险相关事务性工作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办理本级和经授权行使的相关行政审批服务、证照办理、信息咨询、非涉密文件查询等工作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窗口工作人员的服务评价和绩效考核工作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社会治安综合治理办公室负责社会治安、维护稳定、应急管理工作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网格化综合管理的事务性、辅助性工作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承担人民来信来访、司法、人民调解、治安联防、协调政法综治、群防群治、安全创建等工作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宣传贯彻安全生产有关法律、法规、政策；协助做好安全生产（含消防安全）综合监管和打非治违、禁毒、反邪教等工作</w:t>
      </w:r>
      <w:r>
        <w:rPr>
          <w:rFonts w:hint="eastAsia" w:ascii="宋体" w:hAnsi="宋体" w:eastAsia="宋体" w:cstheme="minorBidi"/>
          <w:color w:val="auto"/>
          <w:kern w:val="2"/>
          <w:sz w:val="24"/>
          <w:szCs w:val="24"/>
          <w:lang w:val="en-US" w:eastAsia="zh-CN"/>
        </w:rPr>
        <w:t>；</w:t>
      </w:r>
      <w:r>
        <w:rPr>
          <w:rFonts w:hint="default" w:ascii="宋体" w:hAnsi="宋体" w:eastAsia="宋体" w:cstheme="minorBidi"/>
          <w:color w:val="auto"/>
          <w:kern w:val="2"/>
          <w:sz w:val="24"/>
          <w:szCs w:val="24"/>
          <w:lang w:val="en-US" w:eastAsia="zh-CN"/>
        </w:rPr>
        <w:t>综合行政执法队负责依据相关法律法规，统一承担辖区范围内综合行政执法的工作；根据县直有关部门委托，集中行使乡村集</w:t>
      </w:r>
      <w:r>
        <w:rPr>
          <w:rFonts w:hint="eastAsia" w:ascii="宋体" w:hAnsi="宋体" w:cstheme="minorBidi"/>
          <w:color w:val="auto"/>
          <w:kern w:val="2"/>
          <w:sz w:val="24"/>
          <w:szCs w:val="24"/>
          <w:lang w:val="en-US" w:eastAsia="zh-CN"/>
        </w:rPr>
        <w:t>乡</w:t>
      </w:r>
      <w:r>
        <w:rPr>
          <w:rFonts w:hint="default" w:ascii="宋体" w:hAnsi="宋体" w:eastAsia="宋体" w:cstheme="minorBidi"/>
          <w:color w:val="auto"/>
          <w:kern w:val="2"/>
          <w:sz w:val="24"/>
          <w:szCs w:val="24"/>
          <w:lang w:val="en-US" w:eastAsia="zh-CN"/>
        </w:rPr>
        <w:t>管理、自然资源、生态环境保护、水利、交通运输、安全生产（含消防安全）、社会保障、农业、林业草原、文化旅游等领域的行政监督权和相对集中的行政处罚权；负责执法信息报送；配合上级执法部门开展联合执法、专项执法等工作。）</w:t>
      </w:r>
    </w:p>
    <w:p w14:paraId="7683DCEF">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49DCC1E9">
      <w:pPr>
        <w:spacing w:before="100" w:beforeLines="0" w:after="100" w:afterLines="0"/>
        <w:jc w:val="both"/>
        <w:rPr>
          <w:rFonts w:hint="eastAsia" w:ascii="宋体" w:hAnsi="宋体"/>
          <w:color w:val="auto"/>
          <w:sz w:val="24"/>
          <w:szCs w:val="24"/>
          <w:lang w:val="zh-CN"/>
        </w:rPr>
      </w:pPr>
      <w:r>
        <w:rPr>
          <w:rFonts w:hint="eastAsia" w:ascii="宋体" w:hAnsi="宋体"/>
          <w:b/>
          <w:color w:val="auto"/>
          <w:sz w:val="24"/>
          <w:szCs w:val="24"/>
          <w:lang w:val="zh-CN"/>
        </w:rPr>
        <w:t>（</w:t>
      </w:r>
      <w:r>
        <w:rPr>
          <w:rFonts w:hint="eastAsia" w:ascii="宋体" w:hAnsi="宋体"/>
          <w:b/>
          <w:color w:val="auto"/>
          <w:sz w:val="24"/>
          <w:szCs w:val="24"/>
          <w:lang w:val="en-US" w:eastAsia="zh-CN"/>
        </w:rPr>
        <w:t>详见附件</w:t>
      </w:r>
      <w:r>
        <w:rPr>
          <w:rFonts w:hint="eastAsia" w:ascii="宋体" w:hAnsi="宋体"/>
          <w:b/>
          <w:color w:val="auto"/>
          <w:sz w:val="24"/>
          <w:szCs w:val="24"/>
          <w:lang w:val="zh-CN"/>
        </w:rPr>
        <w:t>）</w:t>
      </w:r>
    </w:p>
    <w:p w14:paraId="721081F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748711B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57F8031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7F599B0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4BADA13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6AFB919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609E9ED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1C2C5DD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5AC1A52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13B0FE29">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609371C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44921AD1">
      <w:pPr>
        <w:spacing w:before="100" w:beforeLines="0" w:after="100" w:afterLines="0"/>
        <w:jc w:val="left"/>
        <w:rPr>
          <w:rFonts w:hint="eastAsia" w:ascii="宋体" w:hAnsi="宋体"/>
          <w:color w:val="FF0000"/>
          <w:sz w:val="24"/>
          <w:szCs w:val="24"/>
          <w:lang w:val="zh-CN"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938.66万元。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en-US" w:eastAsia="zh-CN"/>
        </w:rPr>
        <w:t>减少58.41</w:t>
      </w:r>
      <w:r>
        <w:rPr>
          <w:rFonts w:hint="eastAsia" w:ascii="宋体" w:hAnsi="宋体"/>
          <w:color w:val="auto"/>
          <w:sz w:val="24"/>
          <w:szCs w:val="24"/>
          <w:lang w:val="zh-CN"/>
        </w:rPr>
        <w:t>万元,</w:t>
      </w:r>
      <w:r>
        <w:rPr>
          <w:rFonts w:hint="eastAsia" w:ascii="宋体" w:hAnsi="宋体"/>
          <w:color w:val="auto"/>
          <w:sz w:val="24"/>
          <w:szCs w:val="24"/>
          <w:lang w:val="en-US" w:eastAsia="zh-CN"/>
        </w:rPr>
        <w:t>下降5.86</w:t>
      </w:r>
      <w:r>
        <w:rPr>
          <w:rFonts w:hint="eastAsia" w:ascii="宋体" w:hAnsi="宋体"/>
          <w:color w:val="auto"/>
          <w:sz w:val="24"/>
          <w:szCs w:val="24"/>
          <w:lang w:val="zh-CN"/>
        </w:rPr>
        <w:t>%,主要原因是</w:t>
      </w:r>
      <w:r>
        <w:rPr>
          <w:rFonts w:hint="eastAsia" w:ascii="宋体" w:hAnsi="宋体"/>
          <w:color w:val="auto"/>
          <w:sz w:val="24"/>
          <w:szCs w:val="24"/>
          <w:lang w:val="en-US" w:eastAsia="zh-CN"/>
        </w:rPr>
        <w:t>建设项目减少、人员变动较大</w:t>
      </w:r>
      <w:r>
        <w:rPr>
          <w:rFonts w:hint="eastAsia" w:ascii="宋体" w:hAnsi="宋体"/>
          <w:color w:val="auto"/>
          <w:sz w:val="24"/>
          <w:szCs w:val="24"/>
          <w:lang w:val="zh-CN" w:eastAsia="zh-CN"/>
        </w:rPr>
        <w:t>。</w:t>
      </w:r>
    </w:p>
    <w:p w14:paraId="2281F8C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65F6AD5C">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2023年度收入合计912.46万元,其中：财政拨款收入912.46万元,占100.00%</w:t>
      </w:r>
      <w:r>
        <w:rPr>
          <w:rFonts w:hint="eastAsia" w:ascii="宋体" w:hAnsi="宋体"/>
          <w:color w:val="auto"/>
          <w:sz w:val="24"/>
          <w:szCs w:val="24"/>
          <w:lang w:val="en-US" w:eastAsia="zh-CN"/>
        </w:rPr>
        <w:t>。</w:t>
      </w:r>
    </w:p>
    <w:p w14:paraId="0A611E9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59B0CEF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2023年度支出合计938.66万元,其中：基本支出772.95万元,占82.35%；项目支出165.71万元,占17.65%。</w:t>
      </w:r>
    </w:p>
    <w:p w14:paraId="40CF7C4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16D74EA6">
      <w:pPr>
        <w:spacing w:before="100" w:beforeLines="0" w:after="100" w:afterLines="0"/>
        <w:jc w:val="left"/>
        <w:rPr>
          <w:rFonts w:hint="eastAsia" w:ascii="宋体" w:hAnsi="宋体"/>
          <w:color w:val="FF0000"/>
          <w:sz w:val="24"/>
          <w:szCs w:val="24"/>
          <w:lang w:val="zh-CN"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938.66万元。与</w:t>
      </w:r>
      <w:r>
        <w:rPr>
          <w:rFonts w:hint="eastAsia" w:ascii="宋体" w:hAnsi="宋体"/>
          <w:color w:val="auto"/>
          <w:sz w:val="24"/>
          <w:szCs w:val="24"/>
          <w:lang w:val="en-US"/>
        </w:rPr>
        <w:t>上</w:t>
      </w:r>
      <w:r>
        <w:rPr>
          <w:rFonts w:hint="eastAsia" w:ascii="宋体" w:hAnsi="宋体"/>
          <w:color w:val="auto"/>
          <w:sz w:val="24"/>
          <w:szCs w:val="24"/>
          <w:lang w:val="zh-CN"/>
        </w:rPr>
        <w:t>年相比,各</w:t>
      </w:r>
      <w:r>
        <w:rPr>
          <w:rFonts w:hint="eastAsia" w:ascii="宋体" w:hAnsi="宋体"/>
          <w:color w:val="auto"/>
          <w:sz w:val="24"/>
          <w:szCs w:val="24"/>
          <w:lang w:val="en-US" w:eastAsia="zh-CN"/>
        </w:rPr>
        <w:t>减少58.41</w:t>
      </w:r>
      <w:r>
        <w:rPr>
          <w:rFonts w:hint="eastAsia" w:ascii="宋体" w:hAnsi="宋体"/>
          <w:color w:val="auto"/>
          <w:sz w:val="24"/>
          <w:szCs w:val="24"/>
          <w:lang w:val="zh-CN"/>
        </w:rPr>
        <w:t>万元,</w:t>
      </w:r>
      <w:r>
        <w:rPr>
          <w:rFonts w:hint="eastAsia" w:ascii="宋体" w:hAnsi="宋体"/>
          <w:color w:val="auto"/>
          <w:sz w:val="24"/>
          <w:szCs w:val="24"/>
          <w:lang w:val="en-US" w:eastAsia="zh-CN"/>
        </w:rPr>
        <w:t>下降5.86</w:t>
      </w:r>
      <w:r>
        <w:rPr>
          <w:rFonts w:hint="eastAsia" w:ascii="宋体" w:hAnsi="宋体"/>
          <w:color w:val="auto"/>
          <w:sz w:val="24"/>
          <w:szCs w:val="24"/>
          <w:lang w:val="zh-CN"/>
        </w:rPr>
        <w:t>%,主要原因是</w:t>
      </w:r>
      <w:r>
        <w:rPr>
          <w:rFonts w:hint="eastAsia" w:ascii="宋体" w:hAnsi="宋体"/>
          <w:color w:val="auto"/>
          <w:sz w:val="24"/>
          <w:szCs w:val="24"/>
          <w:lang w:val="en-US" w:eastAsia="zh-CN"/>
        </w:rPr>
        <w:t>建设项目减少、人员变动较大</w:t>
      </w:r>
      <w:r>
        <w:rPr>
          <w:rFonts w:hint="eastAsia" w:ascii="宋体" w:hAnsi="宋体"/>
          <w:color w:val="auto"/>
          <w:sz w:val="24"/>
          <w:szCs w:val="24"/>
          <w:lang w:val="zh-CN" w:eastAsia="zh-CN"/>
        </w:rPr>
        <w:t>。</w:t>
      </w:r>
    </w:p>
    <w:p w14:paraId="75D79B1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583BE95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41EF1D8F">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2023年度一般公共预算财政拨款支出938.66万元,较上年决算数增加139.12万元,增长17.4%。主要原因是</w:t>
      </w:r>
      <w:r>
        <w:rPr>
          <w:rFonts w:hint="eastAsia" w:ascii="宋体" w:hAnsi="宋体"/>
          <w:color w:val="auto"/>
          <w:sz w:val="24"/>
          <w:szCs w:val="24"/>
          <w:lang w:val="en-US" w:eastAsia="zh-CN"/>
        </w:rPr>
        <w:t>人员变动较大，支出增加</w:t>
      </w:r>
      <w:r>
        <w:rPr>
          <w:rFonts w:hint="eastAsia" w:ascii="宋体" w:hAnsi="宋体"/>
          <w:color w:val="auto"/>
          <w:sz w:val="24"/>
          <w:szCs w:val="24"/>
          <w:lang w:val="zh-CN"/>
        </w:rPr>
        <w:t>。</w:t>
      </w:r>
    </w:p>
    <w:p w14:paraId="22A1A2A3">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3CA885EC">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938.66万元，主要用于以下方面：一般公共服务支出140.80万元,占15.0%；社会保障和就业支出92.38万元,占9.84%；卫生健康支出32.38万元,占3.45%；节能环保支出27.63万元</w:t>
      </w:r>
      <w:r>
        <w:rPr>
          <w:rFonts w:hint="eastAsia" w:ascii="宋体" w:hAnsi="宋体"/>
          <w:color w:val="auto"/>
          <w:sz w:val="24"/>
          <w:szCs w:val="24"/>
          <w:lang w:val="en-US" w:eastAsia="zh-CN"/>
        </w:rPr>
        <w:t>,</w:t>
      </w:r>
      <w:r>
        <w:rPr>
          <w:rFonts w:hint="eastAsia" w:ascii="宋体" w:hAnsi="宋体"/>
          <w:color w:val="auto"/>
          <w:sz w:val="24"/>
          <w:szCs w:val="24"/>
          <w:lang w:val="zh-CN"/>
        </w:rPr>
        <w:t>占2.94%；农林水支出636.81万元,占67.84%；灾害防治及应急管理支出3.46万元,占0.37%。</w:t>
      </w:r>
    </w:p>
    <w:p w14:paraId="5ECBCE8E">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3E377F3C">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641.23万元,支出决算为938.66万元,完成年初预算的146.38%。其中：</w:t>
      </w:r>
    </w:p>
    <w:p w14:paraId="75AC2896">
      <w:pPr>
        <w:numPr>
          <w:ilvl w:val="0"/>
          <w:numId w:val="0"/>
        </w:numPr>
        <w:spacing w:before="100" w:beforeLines="0" w:after="100" w:afterLines="0"/>
        <w:ind w:leftChar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年初预算数为0.00万元,支出决算为140.80万元,完成年初预算的%,决算数大于预算数</w:t>
      </w:r>
      <w:r>
        <w:rPr>
          <w:rFonts w:hint="eastAsia" w:ascii="宋体" w:hAnsi="宋体"/>
          <w:color w:val="auto"/>
          <w:sz w:val="24"/>
          <w:szCs w:val="24"/>
          <w:lang w:val="zh-CN" w:eastAsia="zh-CN"/>
        </w:rPr>
        <w:t>的主要原因是</w:t>
      </w:r>
      <w:r>
        <w:rPr>
          <w:rFonts w:hint="eastAsia" w:ascii="宋体" w:hAnsi="宋体"/>
          <w:color w:val="auto"/>
          <w:sz w:val="24"/>
          <w:szCs w:val="24"/>
          <w:lang w:val="en-US" w:eastAsia="zh-CN"/>
        </w:rPr>
        <w:t>年初未预算一般公共服务收入，决算为县级部门预算资金，下拨我单位使用。</w:t>
      </w:r>
    </w:p>
    <w:p w14:paraId="3F3AC3EA">
      <w:pPr>
        <w:numPr>
          <w:ilvl w:val="0"/>
          <w:numId w:val="0"/>
        </w:numPr>
        <w:spacing w:before="100" w:beforeLines="0" w:after="100" w:afterLines="0"/>
        <w:ind w:leftChar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年初预算数为0.00万元,支出决算为5.20万元,完成年初预算的%,决算数大于预算数的主要原因是</w:t>
      </w:r>
      <w:r>
        <w:rPr>
          <w:rFonts w:hint="eastAsia" w:ascii="宋体" w:hAnsi="宋体"/>
          <w:color w:val="auto"/>
          <w:sz w:val="24"/>
          <w:szCs w:val="24"/>
          <w:lang w:val="en-US" w:eastAsia="zh-CN"/>
        </w:rPr>
        <w:t>年初未预算公共安全收入，决算为县级部门预算资金，下拨我单位使用。</w:t>
      </w:r>
    </w:p>
    <w:p w14:paraId="0E03FC2F">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年初预算数为74.27万元,支出决算为92.38万元,完成年初预算的124.38%,决算数大于预算数的主要原因是</w:t>
      </w:r>
      <w:r>
        <w:rPr>
          <w:rFonts w:hint="eastAsia" w:ascii="宋体" w:hAnsi="宋体"/>
          <w:color w:val="auto"/>
          <w:sz w:val="24"/>
          <w:szCs w:val="24"/>
          <w:lang w:val="en-US" w:eastAsia="zh-CN"/>
        </w:rPr>
        <w:t>人员变动较大，支出增加</w:t>
      </w:r>
      <w:r>
        <w:rPr>
          <w:rFonts w:hint="eastAsia" w:ascii="宋体" w:hAnsi="宋体"/>
          <w:color w:val="auto"/>
          <w:sz w:val="24"/>
          <w:szCs w:val="24"/>
          <w:lang w:val="zh-CN"/>
        </w:rPr>
        <w:t>。</w:t>
      </w:r>
    </w:p>
    <w:p w14:paraId="4BBFF04D">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年初预算数为27.18万元,支出决算为32.38万元,完成年初预算的119.11%,决算数大于预算数的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人员变动较大，支出增加</w:t>
      </w:r>
      <w:r>
        <w:rPr>
          <w:rFonts w:hint="eastAsia" w:ascii="宋体" w:hAnsi="宋体"/>
          <w:color w:val="auto"/>
          <w:sz w:val="24"/>
          <w:szCs w:val="24"/>
          <w:lang w:val="zh-CN"/>
        </w:rPr>
        <w:t>。</w:t>
      </w:r>
    </w:p>
    <w:p w14:paraId="26FEA0E5">
      <w:pPr>
        <w:numPr>
          <w:ilvl w:val="0"/>
          <w:numId w:val="0"/>
        </w:numPr>
        <w:spacing w:before="100" w:beforeLines="0" w:after="100" w:afterLines="0"/>
        <w:ind w:leftChar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5</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年初预算数为0.00万元,支出决算为27.63万元,完成年初预算的%,决算数大于预算数的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年初未预算节能环保收入，决算为县级部门预算资金，下拨我单位使用。</w:t>
      </w:r>
    </w:p>
    <w:p w14:paraId="2641CF2B">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6</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年初预算数为539.78万元,支出决算为636.81万元,完成年初预算的117.98%,决算数大于预算数</w:t>
      </w:r>
      <w:r>
        <w:rPr>
          <w:rFonts w:hint="eastAsia" w:ascii="宋体" w:hAnsi="宋体"/>
          <w:color w:val="auto"/>
          <w:sz w:val="24"/>
          <w:szCs w:val="24"/>
          <w:lang w:val="zh-CN" w:eastAsia="zh-CN"/>
        </w:rPr>
        <w:t>的主要原因是</w:t>
      </w:r>
      <w:r>
        <w:rPr>
          <w:rFonts w:hint="eastAsia" w:ascii="宋体" w:hAnsi="宋体"/>
          <w:color w:val="auto"/>
          <w:sz w:val="24"/>
          <w:szCs w:val="24"/>
          <w:lang w:val="en-US" w:eastAsia="zh-CN"/>
        </w:rPr>
        <w:t>人员变动较大，支出增加。</w:t>
      </w:r>
    </w:p>
    <w:p w14:paraId="456EA37C">
      <w:pPr>
        <w:spacing w:before="100" w:beforeLines="0" w:after="100" w:afterLines="0"/>
        <w:jc w:val="left"/>
        <w:rPr>
          <w:rFonts w:hint="eastAsia" w:ascii="宋体" w:hAnsi="宋体"/>
          <w:color w:val="auto"/>
          <w:sz w:val="24"/>
          <w:szCs w:val="24"/>
          <w:lang w:val="en-US" w:eastAsia="zh-CN"/>
        </w:rPr>
      </w:pPr>
      <w:r>
        <w:rPr>
          <w:rFonts w:hint="eastAsia" w:ascii="Times New Roman" w:hAnsi="Times New Roman" w:eastAsia="宋体"/>
          <w:b/>
          <w:color w:val="auto"/>
          <w:sz w:val="24"/>
          <w:szCs w:val="24"/>
          <w:lang w:val="en-US" w:eastAsia="zh-CN"/>
        </w:rPr>
        <w:t>7</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年初预算数为0.00万元,支出决算为3.46万元,完成年初预算的%,决算数大于预算数的</w:t>
      </w:r>
      <w:r>
        <w:rPr>
          <w:rFonts w:hint="eastAsia" w:ascii="宋体" w:hAnsi="宋体"/>
          <w:color w:val="auto"/>
          <w:sz w:val="24"/>
          <w:szCs w:val="24"/>
          <w:lang w:val="zh-CN" w:eastAsia="zh-CN"/>
        </w:rPr>
        <w:t>主要原因是</w:t>
      </w:r>
      <w:r>
        <w:rPr>
          <w:rFonts w:hint="eastAsia" w:ascii="宋体" w:hAnsi="宋体"/>
          <w:color w:val="auto"/>
          <w:sz w:val="24"/>
          <w:szCs w:val="24"/>
          <w:lang w:val="en-US" w:eastAsia="zh-CN"/>
        </w:rPr>
        <w:t>年初未预算灾害防治及应急管理收入，决算为县级部门预算资金，下拨我单位使用。</w:t>
      </w:r>
    </w:p>
    <w:p w14:paraId="5FCCA02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2FF7438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2023年度一般公共预算财政拨款基本支出772.95万元。其中：</w:t>
      </w:r>
    </w:p>
    <w:p w14:paraId="72653A48">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662.21万元,较上年决算数增加4.74万元,增长0.72%,主要原因是人员变动、支出增加。人员经费用途主要包括基本工资、津贴补贴、奖金、社会保障缴费、抚恤金、生活补助</w:t>
      </w:r>
      <w:r>
        <w:rPr>
          <w:rFonts w:hint="eastAsia" w:ascii="宋体" w:hAnsi="宋体"/>
          <w:color w:val="auto"/>
          <w:sz w:val="24"/>
          <w:szCs w:val="24"/>
          <w:lang w:val="en-US" w:eastAsia="zh-CN"/>
        </w:rPr>
        <w:t>及</w:t>
      </w:r>
      <w:r>
        <w:rPr>
          <w:rFonts w:hint="eastAsia" w:ascii="宋体" w:hAnsi="宋体"/>
          <w:color w:val="auto"/>
          <w:sz w:val="24"/>
          <w:szCs w:val="24"/>
          <w:lang w:val="zh-CN"/>
        </w:rPr>
        <w:t>其他对个人和家庭的补助。</w:t>
      </w:r>
    </w:p>
    <w:p w14:paraId="3AB99EAC">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110.75万元,较上年决算数减少20.25万元,下降15.46%,主要原因是办公费、</w:t>
      </w:r>
      <w:r>
        <w:rPr>
          <w:rFonts w:hint="eastAsia" w:ascii="宋体" w:hAnsi="宋体"/>
          <w:color w:val="auto"/>
          <w:sz w:val="24"/>
          <w:szCs w:val="24"/>
          <w:lang w:val="en-US" w:eastAsia="zh-CN"/>
        </w:rPr>
        <w:t>电费、邮电费、咨询费、维修（护）费、取暖费、差旅费、劳务费、工会经费、福利费、公务用车运行维护费、其他交通费用及其他商品和服务支出</w:t>
      </w:r>
      <w:r>
        <w:rPr>
          <w:rFonts w:hint="eastAsia" w:ascii="宋体" w:hAnsi="宋体"/>
          <w:color w:val="auto"/>
          <w:sz w:val="24"/>
          <w:szCs w:val="24"/>
          <w:lang w:val="zh-CN"/>
        </w:rPr>
        <w:t>。</w:t>
      </w:r>
    </w:p>
    <w:p w14:paraId="4C9055B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47FB177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6870BA4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13BBEE02">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本部门2023年度没有使用国有资本经营预算安排的支出。</w:t>
      </w:r>
    </w:p>
    <w:p w14:paraId="429EA8B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EE75987">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4C7FA87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预算数为2.42万元,支出决算为2.14万元,决算数小于预算数的主要原因是公务车运行维护费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增加0.6</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增长38.66</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当年燃油费上涨，支出增加</w:t>
      </w:r>
      <w:r>
        <w:rPr>
          <w:rFonts w:hint="eastAsia" w:ascii="宋体" w:hAnsi="宋体"/>
          <w:color w:val="auto"/>
          <w:sz w:val="24"/>
          <w:szCs w:val="24"/>
          <w:lang w:val="zh-CN"/>
        </w:rPr>
        <w:t>。</w:t>
      </w:r>
    </w:p>
    <w:p w14:paraId="3896265C">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1B4B31EE">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1</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预算数为2.32万元,支出决算为2.14万元,决算数小于预算数的主要原因是公务车运行维护费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增加0.6</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增长38.66</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当年燃油费上涨，支出增加</w:t>
      </w:r>
      <w:r>
        <w:rPr>
          <w:rFonts w:hint="eastAsia" w:ascii="宋体" w:hAnsi="宋体"/>
          <w:color w:val="auto"/>
          <w:sz w:val="24"/>
          <w:szCs w:val="24"/>
          <w:lang w:val="zh-CN"/>
        </w:rPr>
        <w:t>。</w:t>
      </w:r>
    </w:p>
    <w:p w14:paraId="62C13A8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预算数为2.32万元,支出决算为2.14万元,决算数小于预算数的主要原因是公务车运行维护费</w:t>
      </w:r>
      <w:r>
        <w:rPr>
          <w:rFonts w:hint="eastAsia" w:ascii="宋体" w:hAnsi="宋体"/>
          <w:color w:val="auto"/>
          <w:sz w:val="24"/>
          <w:szCs w:val="24"/>
          <w:lang w:val="en-US" w:eastAsia="zh-CN"/>
        </w:rPr>
        <w:t>减少</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增加0.6</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增长38.66</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当年燃油费上涨，支出增加</w:t>
      </w:r>
      <w:r>
        <w:rPr>
          <w:rFonts w:hint="eastAsia" w:ascii="宋体" w:hAnsi="宋体"/>
          <w:color w:val="auto"/>
          <w:sz w:val="24"/>
          <w:szCs w:val="24"/>
          <w:lang w:val="zh-CN"/>
        </w:rPr>
        <w:t>。</w:t>
      </w:r>
    </w:p>
    <w:p w14:paraId="08230055">
      <w:pPr>
        <w:numPr>
          <w:ilvl w:val="0"/>
          <w:numId w:val="3"/>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年预算数为0.10万元,支出决算为0.00万元,决算数小于预算数的主要原因是当年未报账</w:t>
      </w:r>
      <w:r>
        <w:rPr>
          <w:rFonts w:hint="eastAsia" w:ascii="宋体" w:hAnsi="宋体"/>
          <w:color w:val="auto"/>
          <w:sz w:val="24"/>
          <w:szCs w:val="24"/>
          <w:lang w:val="en-US" w:eastAsia="zh-CN"/>
        </w:rPr>
        <w:t>支付</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下降0</w:t>
      </w:r>
      <w:r>
        <w:rPr>
          <w:rFonts w:hint="eastAsia" w:ascii="宋体" w:hAnsi="宋体"/>
          <w:color w:val="auto"/>
          <w:sz w:val="24"/>
          <w:szCs w:val="24"/>
          <w:lang w:val="zh-CN"/>
        </w:rPr>
        <w:t>%。</w:t>
      </w:r>
    </w:p>
    <w:p w14:paraId="05F2F73D">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444E5D0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无</w:t>
      </w:r>
    </w:p>
    <w:p w14:paraId="74436BE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209DE21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110.75万元,机关运行经费开支办公费、公务车运行维护费、电费、取暖费、物业费、会议费、公车运行维护费、设备购置及政府购买服务等其他费用。机关运行经费较上年决算数减少20.26万元,下降15.47%,主要原因是落实过紧日子要求</w:t>
      </w:r>
      <w:r>
        <w:rPr>
          <w:rFonts w:hint="eastAsia" w:ascii="宋体" w:hAnsi="宋体"/>
          <w:color w:val="auto"/>
          <w:sz w:val="24"/>
          <w:szCs w:val="24"/>
          <w:lang w:val="en-US" w:eastAsia="zh-CN"/>
        </w:rPr>
        <w:t>减压经费支出</w:t>
      </w:r>
      <w:r>
        <w:rPr>
          <w:rFonts w:hint="eastAsia" w:ascii="宋体" w:hAnsi="宋体"/>
          <w:color w:val="auto"/>
          <w:sz w:val="24"/>
          <w:szCs w:val="24"/>
          <w:lang w:val="zh-CN"/>
        </w:rPr>
        <w:t>。本年度培训费支出0.09万元,较上年决算数增加0.09万元,增</w:t>
      </w:r>
      <w:r>
        <w:rPr>
          <w:rFonts w:hint="eastAsia" w:ascii="宋体" w:hAnsi="宋体"/>
          <w:color w:val="auto"/>
          <w:sz w:val="24"/>
          <w:szCs w:val="24"/>
          <w:lang w:val="zh-CN" w:eastAsia="zh-CN"/>
        </w:rPr>
        <w:t>长</w:t>
      </w:r>
      <w:r>
        <w:rPr>
          <w:rFonts w:hint="eastAsia" w:ascii="宋体" w:hAnsi="宋体"/>
          <w:color w:val="auto"/>
          <w:sz w:val="24"/>
          <w:szCs w:val="24"/>
          <w:lang w:val="en-US" w:eastAsia="zh-CN"/>
        </w:rPr>
        <w:t>0</w:t>
      </w:r>
      <w:r>
        <w:rPr>
          <w:rFonts w:hint="eastAsia" w:ascii="宋体" w:hAnsi="宋体"/>
          <w:color w:val="auto"/>
          <w:sz w:val="24"/>
          <w:szCs w:val="24"/>
          <w:lang w:val="zh-CN" w:eastAsia="zh-CN"/>
        </w:rPr>
        <w:t>%,主要原因是初任公务员任前</w:t>
      </w:r>
      <w:r>
        <w:rPr>
          <w:rFonts w:hint="eastAsia" w:ascii="宋体" w:hAnsi="宋体"/>
          <w:color w:val="auto"/>
          <w:sz w:val="24"/>
          <w:szCs w:val="24"/>
          <w:lang w:val="en-US" w:eastAsia="zh-CN"/>
        </w:rPr>
        <w:t>培训</w:t>
      </w:r>
      <w:r>
        <w:rPr>
          <w:rFonts w:hint="eastAsia" w:ascii="宋体" w:hAnsi="宋体"/>
          <w:color w:val="auto"/>
          <w:sz w:val="24"/>
          <w:szCs w:val="24"/>
          <w:lang w:val="zh-CN" w:eastAsia="zh-CN"/>
        </w:rPr>
        <w:t>。</w:t>
      </w:r>
    </w:p>
    <w:p w14:paraId="7D7B7CD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3660871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14:paraId="5073BBF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188425C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主要是用于工作需要的出行行程。单价100万元(含)以上设备0台(套)。</w:t>
      </w:r>
    </w:p>
    <w:p w14:paraId="5E35DC8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bookmarkStart w:id="0" w:name="_GoBack"/>
      <w:bookmarkEnd w:id="0"/>
    </w:p>
    <w:p w14:paraId="40D92FD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07A825BF">
      <w:pPr>
        <w:spacing w:before="100" w:beforeLines="0" w:after="100" w:afterLines="0"/>
        <w:jc w:val="left"/>
        <w:rPr>
          <w:rFonts w:hint="eastAsia" w:ascii="宋体" w:hAnsi="宋体"/>
          <w:color w:val="FF0000"/>
          <w:sz w:val="24"/>
          <w:szCs w:val="24"/>
          <w:lang w:val="zh-CN"/>
        </w:rPr>
      </w:pPr>
    </w:p>
    <w:p w14:paraId="599738E0">
      <w:pPr>
        <w:spacing w:before="100" w:beforeLines="0" w:after="100" w:afterLines="0"/>
        <w:jc w:val="left"/>
        <w:rPr>
          <w:rFonts w:hint="eastAsia" w:ascii="宋体" w:hAnsi="宋体"/>
          <w:color w:val="auto"/>
          <w:sz w:val="24"/>
          <w:szCs w:val="24"/>
          <w:lang w:val="zh-CN"/>
        </w:rPr>
      </w:pPr>
    </w:p>
    <w:p w14:paraId="6350A208">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71B184B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671A7AAA">
      <w:pPr>
        <w:spacing w:before="100" w:beforeLines="0" w:after="100" w:afterLines="0"/>
        <w:ind w:firstLine="480" w:firstLineChars="200"/>
        <w:jc w:val="left"/>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w:t>
      </w:r>
      <w:r>
        <w:rPr>
          <w:rFonts w:hint="eastAsia" w:ascii="宋体" w:hAnsi="宋体"/>
          <w:color w:val="auto"/>
          <w:sz w:val="24"/>
          <w:szCs w:val="24"/>
          <w:lang w:val="en-US"/>
        </w:rPr>
        <w:t>本部门对</w:t>
      </w:r>
      <w:r>
        <w:rPr>
          <w:rFonts w:hint="eastAsia" w:ascii="宋体" w:hAnsi="宋体"/>
          <w:color w:val="auto"/>
          <w:sz w:val="24"/>
          <w:szCs w:val="24"/>
          <w:lang w:val="en-US" w:eastAsia="zh-CN"/>
        </w:rPr>
        <w:t>2023</w:t>
      </w:r>
      <w:r>
        <w:rPr>
          <w:rFonts w:hint="eastAsia" w:ascii="宋体" w:hAnsi="宋体"/>
          <w:color w:val="auto"/>
          <w:sz w:val="24"/>
          <w:szCs w:val="24"/>
          <w:lang w:val="en-US"/>
        </w:rPr>
        <w:t>年</w:t>
      </w:r>
      <w:r>
        <w:rPr>
          <w:rFonts w:hint="eastAsia" w:ascii="宋体" w:hAnsi="宋体" w:eastAsia="宋体" w:cs="宋体"/>
          <w:color w:val="000000"/>
          <w:kern w:val="0"/>
          <w:sz w:val="24"/>
          <w:szCs w:val="24"/>
          <w:lang w:val="en-US"/>
        </w:rPr>
        <w:t>度一般公共预算项目支出全面开展绩效自评,</w:t>
      </w:r>
      <w:r>
        <w:rPr>
          <w:rFonts w:hint="eastAsia" w:ascii="宋体" w:hAnsi="宋体"/>
          <w:color w:val="auto"/>
          <w:sz w:val="24"/>
          <w:szCs w:val="24"/>
          <w:lang w:val="en-US" w:eastAsia="zh-CN"/>
        </w:rPr>
        <w:t>我单位2023年支出938.66万元，从评价情况来看我单位全面完成设定目标值，较好的完成了各项目实施，保障了部门工作高效高质量运行。</w:t>
      </w:r>
    </w:p>
    <w:p w14:paraId="6A8E28C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01F728CB">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en-US" w:eastAsia="zh-CN"/>
        </w:rPr>
        <w:t>我部门在2023年度部门决算中反映部门整体支出绩效自评结果。部门整体支出绩效自评情况：根据年初设定的绩效目标，部门整体支出绩效自评得分为91分。合理安排了支出，保障部门工作正常运转，提高了资金利用率。</w:t>
      </w:r>
    </w:p>
    <w:p w14:paraId="486883A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3BA8502C">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详见附件：部门整体绩效目标自评表及自评报告</w:t>
      </w:r>
    </w:p>
    <w:p w14:paraId="683BFEF7">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21B73D4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7A80FCD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000740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402AA4F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2F755078">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64AD007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49CE0A1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14EB648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10CB256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4754E61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0DD9A32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18BC611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AA8A2E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A2436F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2F28552C">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zOWNhYWQwMmNkOTU1Njc4NzljOTViYzQzZjI2MGMifQ=="/>
  </w:docVars>
  <w:rsids>
    <w:rsidRoot w:val="00000000"/>
    <w:rsid w:val="216810C6"/>
    <w:rsid w:val="21CC3400"/>
    <w:rsid w:val="2FF314A8"/>
    <w:rsid w:val="3328196E"/>
    <w:rsid w:val="3EEF2686"/>
    <w:rsid w:val="43157E96"/>
    <w:rsid w:val="43BA5068"/>
    <w:rsid w:val="68B81BCD"/>
    <w:rsid w:val="6A305EB2"/>
    <w:rsid w:val="776013D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290fa945-dd60-48cd-bd62-c5cdab3bf3be}">
  <ds:schemaRefs/>
</ds:datastoreItem>
</file>

<file path=customXml/itemProps2.xml><?xml version="1.0" encoding="utf-8"?>
<ds:datastoreItem xmlns:ds="http://schemas.openxmlformats.org/officeDocument/2006/customXml" ds:itemID="{6acb1ac7-72b3-455c-a041-76b3708be18d}">
  <ds:schemaRefs/>
</ds:datastoreItem>
</file>

<file path=customXml/itemProps3.xml><?xml version="1.0" encoding="utf-8"?>
<ds:datastoreItem xmlns:ds="http://schemas.openxmlformats.org/officeDocument/2006/customXml" ds:itemID="{ab5e4756-e11f-4caa-9f73-a52f7c4de19d}">
  <ds:schemaRefs/>
</ds:datastoreItem>
</file>

<file path=customXml/itemProps4.xml><?xml version="1.0" encoding="utf-8"?>
<ds:datastoreItem xmlns:ds="http://schemas.openxmlformats.org/officeDocument/2006/customXml" ds:itemID="{6467891e-0037-48cb-bd99-122ea4da82bd}">
  <ds:schemaRefs/>
</ds:datastoreItem>
</file>

<file path=customXml/itemProps5.xml><?xml version="1.0" encoding="utf-8"?>
<ds:datastoreItem xmlns:ds="http://schemas.openxmlformats.org/officeDocument/2006/customXml" ds:itemID="{762726f6-5612-4ded-b67b-a265d0ba78df}">
  <ds:schemaRefs/>
</ds:datastoreItem>
</file>

<file path=customXml/itemProps6.xml><?xml version="1.0" encoding="utf-8"?>
<ds:datastoreItem xmlns:ds="http://schemas.openxmlformats.org/officeDocument/2006/customXml" ds:itemID="{a8603ead-fd61-4f7a-bd43-7da29db3f3ce}">
  <ds:schemaRefs/>
</ds:datastoreItem>
</file>

<file path=customXml/itemProps7.xml><?xml version="1.0" encoding="utf-8"?>
<ds:datastoreItem xmlns:ds="http://schemas.openxmlformats.org/officeDocument/2006/customXml" ds:itemID="{d181cc2e-f4bd-4641-8539-fd92fc1dc878}">
  <ds:schemaRefs/>
</ds:datastoreItem>
</file>

<file path=customXml/itemProps8.xml><?xml version="1.0" encoding="utf-8"?>
<ds:datastoreItem xmlns:ds="http://schemas.openxmlformats.org/officeDocument/2006/customXml" ds:itemID="{7f87aa9b-e1d3-4225-b28b-f7c0c5672033}">
  <ds:schemaRefs/>
</ds:datastoreItem>
</file>

<file path=customXml/itemProps9.xml><?xml version="1.0" encoding="utf-8"?>
<ds:datastoreItem xmlns:ds="http://schemas.openxmlformats.org/officeDocument/2006/customXml" ds:itemID="{12d7171c-71d8-4e1b-b219-86125da2db94}">
  <ds:schemaRefs/>
</ds:datastoreItem>
</file>

<file path=docProps/app.xml><?xml version="1.0" encoding="utf-8"?>
<Properties xmlns="http://schemas.openxmlformats.org/officeDocument/2006/extended-properties" xmlns:vt="http://schemas.openxmlformats.org/officeDocument/2006/docPropsVTypes">
  <Template>Normal.dotm</Template>
  <Pages>8</Pages>
  <Words>5129</Words>
  <Characters>5575</Characters>
  <Lines>0</Lines>
  <Paragraphs>0</Paragraphs>
  <TotalTime>7</TotalTime>
  <ScaleCrop>false</ScaleCrop>
  <LinksUpToDate>false</LinksUpToDate>
  <CharactersWithSpaces>5579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秋日私语</cp:lastModifiedBy>
  <dcterms:modified xsi:type="dcterms:W3CDTF">2024-09-14T06:56:47Z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