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583AD">
      <w:pPr>
        <w:spacing w:before="100" w:beforeLines="0" w:after="100" w:afterLines="0"/>
        <w:jc w:val="center"/>
        <w:rPr>
          <w:rFonts w:hint="eastAsia" w:ascii="宋体" w:hAnsi="宋体"/>
          <w:sz w:val="24"/>
          <w:szCs w:val="24"/>
          <w:lang w:val="zh-CN"/>
        </w:rPr>
      </w:pPr>
    </w:p>
    <w:p w14:paraId="0CA4AF63">
      <w:pPr>
        <w:spacing w:before="100" w:beforeLines="0" w:after="100" w:afterLines="0"/>
        <w:jc w:val="center"/>
        <w:rPr>
          <w:rFonts w:hint="eastAsia" w:ascii="宋体" w:hAnsi="宋体"/>
          <w:sz w:val="24"/>
          <w:szCs w:val="24"/>
          <w:lang w:val="zh-CN"/>
        </w:rPr>
      </w:pPr>
    </w:p>
    <w:p w14:paraId="7CE125A4">
      <w:pPr>
        <w:spacing w:before="100" w:beforeLines="0" w:after="100" w:afterLines="0"/>
        <w:jc w:val="center"/>
        <w:rPr>
          <w:rFonts w:hint="eastAsia" w:ascii="宋体" w:hAnsi="宋体"/>
          <w:sz w:val="24"/>
          <w:szCs w:val="24"/>
          <w:lang w:val="zh-CN"/>
        </w:rPr>
      </w:pPr>
    </w:p>
    <w:p w14:paraId="705D8517">
      <w:pPr>
        <w:spacing w:before="100" w:beforeLines="0" w:after="100" w:afterLines="0"/>
        <w:jc w:val="center"/>
        <w:rPr>
          <w:rFonts w:hint="eastAsia" w:ascii="宋体" w:hAnsi="宋体"/>
          <w:sz w:val="24"/>
          <w:szCs w:val="24"/>
          <w:lang w:val="zh-CN"/>
        </w:rPr>
      </w:pPr>
    </w:p>
    <w:p w14:paraId="554D46EA">
      <w:pPr>
        <w:spacing w:before="100" w:beforeLines="0" w:after="100" w:afterLines="0"/>
        <w:jc w:val="center"/>
        <w:rPr>
          <w:rFonts w:hint="eastAsia" w:ascii="宋体" w:hAnsi="宋体"/>
          <w:sz w:val="24"/>
          <w:szCs w:val="24"/>
          <w:lang w:val="zh-CN"/>
        </w:rPr>
      </w:pPr>
    </w:p>
    <w:p w14:paraId="662B8A34">
      <w:pPr>
        <w:spacing w:before="100" w:beforeLines="0" w:after="100" w:afterLines="0"/>
        <w:jc w:val="center"/>
        <w:rPr>
          <w:rFonts w:hint="eastAsia" w:ascii="宋体" w:hAnsi="宋体"/>
          <w:sz w:val="24"/>
          <w:szCs w:val="24"/>
          <w:lang w:val="zh-CN"/>
        </w:rPr>
      </w:pPr>
    </w:p>
    <w:p w14:paraId="0F75E379">
      <w:pPr>
        <w:spacing w:before="100" w:beforeLines="0" w:after="100" w:afterLines="0"/>
        <w:jc w:val="center"/>
        <w:rPr>
          <w:rFonts w:hint="eastAsia" w:ascii="宋体" w:hAnsi="宋体"/>
          <w:sz w:val="24"/>
          <w:szCs w:val="24"/>
          <w:lang w:val="zh-CN"/>
        </w:rPr>
      </w:pPr>
    </w:p>
    <w:p w14:paraId="39231AD1">
      <w:pPr>
        <w:spacing w:before="100" w:beforeLines="0" w:after="100" w:afterLines="0"/>
        <w:jc w:val="center"/>
        <w:rPr>
          <w:rFonts w:hint="eastAsia" w:ascii="宋体" w:hAnsi="宋体"/>
          <w:sz w:val="24"/>
          <w:szCs w:val="24"/>
          <w:lang w:val="zh-CN"/>
        </w:rPr>
      </w:pPr>
    </w:p>
    <w:p w14:paraId="60B1EA16">
      <w:pPr>
        <w:spacing w:before="100" w:beforeLines="0" w:after="100" w:afterLines="0"/>
        <w:jc w:val="center"/>
        <w:rPr>
          <w:rFonts w:hint="eastAsia" w:ascii="宋体" w:hAnsi="宋体"/>
          <w:sz w:val="24"/>
          <w:szCs w:val="24"/>
          <w:lang w:val="zh-CN"/>
        </w:rPr>
      </w:pPr>
    </w:p>
    <w:p w14:paraId="60B3BBF8">
      <w:pPr>
        <w:spacing w:before="100" w:beforeLines="0" w:after="100" w:afterLines="0"/>
        <w:jc w:val="center"/>
        <w:rPr>
          <w:rFonts w:hint="eastAsia" w:ascii="宋体" w:hAnsi="宋体"/>
          <w:sz w:val="24"/>
          <w:szCs w:val="24"/>
          <w:lang w:val="zh-CN"/>
        </w:rPr>
      </w:pPr>
    </w:p>
    <w:p w14:paraId="0D03002B">
      <w:pPr>
        <w:spacing w:before="100" w:beforeLines="0" w:after="100" w:afterLines="0"/>
        <w:jc w:val="center"/>
        <w:rPr>
          <w:rFonts w:hint="eastAsia" w:ascii="宋体" w:hAnsi="宋体"/>
          <w:sz w:val="24"/>
          <w:szCs w:val="24"/>
          <w:lang w:val="zh-CN"/>
        </w:rPr>
      </w:pPr>
    </w:p>
    <w:p w14:paraId="08A68B13">
      <w:pPr>
        <w:spacing w:before="100" w:beforeLines="0" w:after="100" w:afterLines="0"/>
        <w:jc w:val="center"/>
        <w:rPr>
          <w:rFonts w:hint="eastAsia" w:ascii="方正小标宋简体" w:hAnsi="方正小标宋简体" w:eastAsia="方正小标宋简体" w:cs="方正小标宋简体"/>
          <w:sz w:val="44"/>
          <w:szCs w:val="44"/>
          <w:lang w:val="zh-CN"/>
        </w:rPr>
      </w:pPr>
    </w:p>
    <w:p w14:paraId="50FBF05D">
      <w:pPr>
        <w:spacing w:before="100" w:beforeLines="0" w:after="100" w:afterLines="0"/>
        <w:jc w:val="center"/>
        <w:rPr>
          <w:rFonts w:hint="eastAsia"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lang w:val="zh-CN"/>
        </w:rPr>
        <w:t>2023年度</w:t>
      </w:r>
    </w:p>
    <w:p w14:paraId="67ABBC29">
      <w:pPr>
        <w:spacing w:before="100" w:beforeLines="0" w:after="100" w:afterLines="0"/>
        <w:jc w:val="center"/>
        <w:rPr>
          <w:rFonts w:hint="eastAsia"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lang w:val="zh-CN"/>
        </w:rPr>
        <w:t>华池县统计局部门决算</w:t>
      </w:r>
    </w:p>
    <w:p w14:paraId="4D098DE8">
      <w:pPr>
        <w:spacing w:before="100" w:beforeLines="0" w:after="100" w:afterLines="0"/>
        <w:jc w:val="center"/>
        <w:rPr>
          <w:rFonts w:hint="eastAsia" w:ascii="宋体" w:hAnsi="宋体"/>
          <w:sz w:val="24"/>
          <w:szCs w:val="24"/>
          <w:lang w:val="zh-CN"/>
        </w:rPr>
      </w:pPr>
    </w:p>
    <w:p w14:paraId="41D3A729">
      <w:pPr>
        <w:spacing w:before="100" w:beforeLines="0" w:after="100" w:afterLines="0"/>
        <w:jc w:val="center"/>
        <w:rPr>
          <w:rFonts w:hint="eastAsia" w:ascii="宋体" w:hAnsi="宋体"/>
          <w:sz w:val="24"/>
          <w:szCs w:val="24"/>
          <w:lang w:val="zh-CN"/>
        </w:rPr>
      </w:pPr>
    </w:p>
    <w:p w14:paraId="10D68273">
      <w:pPr>
        <w:spacing w:before="100" w:beforeLines="0" w:after="100" w:afterLines="0"/>
        <w:jc w:val="center"/>
        <w:rPr>
          <w:rFonts w:hint="eastAsia" w:ascii="宋体" w:hAnsi="宋体"/>
          <w:sz w:val="24"/>
          <w:szCs w:val="24"/>
          <w:lang w:val="zh-CN"/>
        </w:rPr>
      </w:pPr>
    </w:p>
    <w:p w14:paraId="45F5EF47">
      <w:pPr>
        <w:spacing w:before="100" w:beforeLines="0" w:after="100" w:afterLines="0"/>
        <w:jc w:val="center"/>
        <w:rPr>
          <w:rFonts w:hint="eastAsia" w:ascii="宋体" w:hAnsi="宋体"/>
          <w:sz w:val="24"/>
          <w:szCs w:val="24"/>
          <w:lang w:val="zh-CN"/>
        </w:rPr>
      </w:pPr>
    </w:p>
    <w:p w14:paraId="3BC8C88F">
      <w:pPr>
        <w:spacing w:before="100" w:beforeLines="0" w:after="100" w:afterLines="0"/>
        <w:jc w:val="center"/>
        <w:rPr>
          <w:rFonts w:hint="eastAsia" w:ascii="宋体" w:hAnsi="宋体"/>
          <w:sz w:val="24"/>
          <w:szCs w:val="24"/>
          <w:lang w:val="zh-CN"/>
        </w:rPr>
      </w:pPr>
    </w:p>
    <w:p w14:paraId="6532B7E3">
      <w:pPr>
        <w:spacing w:before="100" w:beforeLines="0" w:after="100" w:afterLines="0"/>
        <w:jc w:val="center"/>
        <w:rPr>
          <w:rFonts w:hint="eastAsia" w:ascii="宋体" w:hAnsi="宋体"/>
          <w:sz w:val="24"/>
          <w:szCs w:val="24"/>
          <w:lang w:val="zh-CN"/>
        </w:rPr>
      </w:pPr>
    </w:p>
    <w:p w14:paraId="70167A14">
      <w:pPr>
        <w:spacing w:before="100" w:beforeLines="0" w:after="100" w:afterLines="0"/>
        <w:jc w:val="center"/>
        <w:rPr>
          <w:rFonts w:hint="eastAsia" w:ascii="宋体" w:hAnsi="宋体"/>
          <w:sz w:val="24"/>
          <w:szCs w:val="24"/>
          <w:lang w:val="zh-CN"/>
        </w:rPr>
      </w:pPr>
    </w:p>
    <w:p w14:paraId="723ADD42">
      <w:pPr>
        <w:spacing w:before="100" w:beforeLines="0" w:after="100" w:afterLines="0"/>
        <w:jc w:val="center"/>
        <w:rPr>
          <w:rFonts w:hint="eastAsia" w:ascii="宋体" w:hAnsi="宋体"/>
          <w:sz w:val="24"/>
          <w:szCs w:val="24"/>
          <w:lang w:val="zh-CN"/>
        </w:rPr>
      </w:pPr>
    </w:p>
    <w:p w14:paraId="41A93CA7">
      <w:pPr>
        <w:spacing w:before="100" w:beforeLines="0" w:after="100" w:afterLines="0"/>
        <w:jc w:val="center"/>
        <w:rPr>
          <w:rFonts w:hint="eastAsia" w:ascii="宋体" w:hAnsi="宋体"/>
          <w:sz w:val="24"/>
          <w:szCs w:val="24"/>
          <w:lang w:val="zh-CN"/>
        </w:rPr>
      </w:pPr>
    </w:p>
    <w:p w14:paraId="472C848F">
      <w:pPr>
        <w:spacing w:before="100" w:beforeLines="0" w:after="100" w:afterLines="0"/>
        <w:jc w:val="center"/>
        <w:rPr>
          <w:rFonts w:hint="eastAsia" w:ascii="宋体" w:hAnsi="宋体"/>
          <w:sz w:val="24"/>
          <w:szCs w:val="24"/>
          <w:lang w:val="zh-CN"/>
        </w:rPr>
      </w:pPr>
    </w:p>
    <w:p w14:paraId="380B4CEC">
      <w:pPr>
        <w:spacing w:before="100" w:beforeLines="0" w:after="100" w:afterLines="0"/>
        <w:jc w:val="center"/>
        <w:rPr>
          <w:rFonts w:hint="eastAsia" w:ascii="宋体" w:hAnsi="宋体"/>
          <w:sz w:val="24"/>
          <w:szCs w:val="24"/>
          <w:lang w:val="zh-CN"/>
        </w:rPr>
      </w:pPr>
    </w:p>
    <w:p w14:paraId="6E9EF985">
      <w:pPr>
        <w:spacing w:before="100" w:beforeLines="0" w:after="100" w:afterLines="0"/>
        <w:jc w:val="center"/>
        <w:rPr>
          <w:rFonts w:hint="eastAsia" w:ascii="宋体" w:hAnsi="宋体"/>
          <w:sz w:val="24"/>
          <w:szCs w:val="24"/>
          <w:lang w:val="zh-CN"/>
        </w:rPr>
      </w:pPr>
    </w:p>
    <w:p w14:paraId="322BCE47">
      <w:pPr>
        <w:spacing w:before="100" w:beforeLines="0" w:after="100" w:afterLines="0"/>
        <w:jc w:val="center"/>
        <w:rPr>
          <w:rFonts w:hint="eastAsia" w:ascii="宋体" w:hAnsi="宋体"/>
          <w:sz w:val="24"/>
          <w:szCs w:val="24"/>
          <w:lang w:val="zh-CN"/>
        </w:rPr>
      </w:pPr>
    </w:p>
    <w:p w14:paraId="6B5F42C7">
      <w:pPr>
        <w:spacing w:before="100" w:beforeLines="0" w:after="100" w:afterLines="0"/>
        <w:jc w:val="center"/>
        <w:rPr>
          <w:rFonts w:hint="eastAsia" w:ascii="宋体" w:hAnsi="宋体"/>
          <w:sz w:val="24"/>
          <w:szCs w:val="24"/>
          <w:lang w:val="zh-CN"/>
        </w:rPr>
      </w:pPr>
    </w:p>
    <w:p w14:paraId="56E4A028">
      <w:pPr>
        <w:spacing w:before="100" w:beforeLines="0" w:after="100" w:afterLines="0"/>
        <w:jc w:val="center"/>
        <w:rPr>
          <w:rFonts w:hint="eastAsia" w:ascii="宋体" w:hAnsi="宋体"/>
          <w:sz w:val="24"/>
          <w:szCs w:val="24"/>
          <w:lang w:val="zh-CN"/>
        </w:rPr>
      </w:pPr>
    </w:p>
    <w:p w14:paraId="2D6FC0DC">
      <w:pPr>
        <w:spacing w:before="100" w:beforeLines="0" w:after="100" w:afterLines="0"/>
        <w:jc w:val="center"/>
        <w:rPr>
          <w:rFonts w:hint="eastAsia" w:ascii="宋体" w:hAnsi="宋体"/>
          <w:sz w:val="24"/>
          <w:szCs w:val="24"/>
          <w:lang w:val="zh-CN"/>
        </w:rPr>
      </w:pPr>
    </w:p>
    <w:p w14:paraId="77DA6E17">
      <w:pPr>
        <w:spacing w:before="100" w:beforeLines="0" w:after="100" w:afterLines="0"/>
        <w:jc w:val="center"/>
        <w:rPr>
          <w:rFonts w:hint="eastAsia" w:ascii="宋体" w:hAnsi="宋体"/>
          <w:sz w:val="24"/>
          <w:szCs w:val="24"/>
          <w:lang w:val="zh-CN"/>
        </w:rPr>
      </w:pPr>
    </w:p>
    <w:p w14:paraId="4AD5A839">
      <w:pPr>
        <w:spacing w:before="100" w:beforeLines="0" w:after="100" w:afterLines="0"/>
        <w:jc w:val="center"/>
        <w:rPr>
          <w:rFonts w:hint="eastAsia" w:ascii="宋体" w:hAnsi="宋体"/>
          <w:sz w:val="24"/>
          <w:szCs w:val="24"/>
          <w:lang w:val="zh-CN"/>
        </w:rPr>
      </w:pPr>
    </w:p>
    <w:p w14:paraId="7D0D84BE">
      <w:pPr>
        <w:spacing w:before="100" w:beforeLines="0" w:after="100" w:afterLines="0"/>
        <w:jc w:val="center"/>
        <w:rPr>
          <w:rFonts w:hint="eastAsia" w:ascii="黑体" w:hAnsi="黑体" w:eastAsia="黑体" w:cs="黑体"/>
          <w:sz w:val="44"/>
          <w:szCs w:val="44"/>
          <w:lang w:val="zh-CN"/>
        </w:rPr>
      </w:pPr>
      <w:r>
        <w:rPr>
          <w:rFonts w:hint="eastAsia" w:ascii="黑体" w:hAnsi="黑体" w:eastAsia="黑体" w:cs="黑体"/>
          <w:b/>
          <w:sz w:val="44"/>
          <w:szCs w:val="44"/>
          <w:lang w:val="zh-CN"/>
        </w:rPr>
        <w:t>目</w:t>
      </w:r>
      <w:r>
        <w:rPr>
          <w:rFonts w:hint="eastAsia" w:ascii="黑体" w:hAnsi="黑体" w:eastAsia="黑体" w:cs="黑体"/>
          <w:b/>
          <w:sz w:val="44"/>
          <w:szCs w:val="44"/>
          <w:lang w:val="en-US" w:eastAsia="zh-CN"/>
        </w:rPr>
        <w:t xml:space="preserve">  </w:t>
      </w:r>
      <w:r>
        <w:rPr>
          <w:rFonts w:hint="eastAsia" w:ascii="黑体" w:hAnsi="黑体" w:eastAsia="黑体" w:cs="黑体"/>
          <w:b/>
          <w:sz w:val="44"/>
          <w:szCs w:val="44"/>
          <w:lang w:val="zh-CN"/>
        </w:rPr>
        <w:t>录</w:t>
      </w:r>
    </w:p>
    <w:p w14:paraId="3633267D">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346FC85B">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681F6F37">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14:paraId="20B6E2C6">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14:paraId="18BDD830">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14:paraId="3F09E6B1">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14:paraId="74522D11">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14:paraId="6491F62B">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14:paraId="0D9E183F">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14:paraId="70F31666">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14:paraId="53A1674C">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14:paraId="0F5E602D">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14:paraId="2C7489C3">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14:paraId="3DF91685">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14:paraId="10A8E517">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14:paraId="52420308">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14:paraId="2D96D98A">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14:paraId="6B44DDFB">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14:paraId="6B902BE2">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14:paraId="6A5F5637">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14:paraId="6C0B205E">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14:paraId="2311506A">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14:paraId="2F35705D">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九、财政拨款“三公”经费支出决算情况说明</w:t>
      </w:r>
    </w:p>
    <w:p w14:paraId="633C7C69">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14:paraId="72968243">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14:paraId="202BA697">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14:paraId="72951E7E">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14:paraId="64EA79FC">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14:paraId="5A9CF8DC">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14:paraId="0CDC7AD4">
      <w:pPr>
        <w:spacing w:before="100" w:beforeLines="0" w:after="100" w:afterLines="0"/>
        <w:jc w:val="center"/>
        <w:rPr>
          <w:rFonts w:hint="eastAsia" w:ascii="宋体" w:hAnsi="宋体"/>
          <w:sz w:val="24"/>
          <w:szCs w:val="24"/>
          <w:lang w:val="zh-CN"/>
        </w:rPr>
      </w:pPr>
    </w:p>
    <w:p w14:paraId="3A7FE2F4">
      <w:pPr>
        <w:spacing w:before="100" w:beforeLines="0" w:after="100" w:afterLines="0"/>
        <w:jc w:val="center"/>
        <w:rPr>
          <w:rFonts w:hint="eastAsia" w:ascii="宋体" w:hAnsi="宋体"/>
          <w:sz w:val="24"/>
          <w:szCs w:val="24"/>
          <w:lang w:val="zh-CN"/>
        </w:rPr>
      </w:pPr>
    </w:p>
    <w:p w14:paraId="22B0409A">
      <w:pPr>
        <w:spacing w:before="100" w:beforeLines="0" w:after="100" w:afterLines="0"/>
        <w:jc w:val="center"/>
        <w:rPr>
          <w:rFonts w:hint="eastAsia" w:ascii="宋体" w:hAnsi="宋体"/>
          <w:sz w:val="24"/>
          <w:szCs w:val="24"/>
          <w:lang w:val="zh-CN"/>
        </w:rPr>
      </w:pPr>
    </w:p>
    <w:p w14:paraId="699E5BFE">
      <w:pPr>
        <w:spacing w:before="100" w:beforeLines="0" w:after="100" w:afterLines="0"/>
        <w:jc w:val="center"/>
        <w:rPr>
          <w:rFonts w:hint="eastAsia" w:ascii="宋体" w:hAnsi="宋体"/>
          <w:sz w:val="24"/>
          <w:szCs w:val="24"/>
          <w:lang w:val="zh-CN"/>
        </w:rPr>
      </w:pPr>
    </w:p>
    <w:p w14:paraId="2E49D50A">
      <w:pPr>
        <w:spacing w:before="100" w:beforeLines="0" w:after="100" w:afterLines="0"/>
        <w:jc w:val="center"/>
        <w:rPr>
          <w:rFonts w:hint="eastAsia" w:ascii="宋体" w:hAnsi="宋体"/>
          <w:sz w:val="24"/>
          <w:szCs w:val="24"/>
          <w:lang w:val="zh-CN"/>
        </w:rPr>
      </w:pPr>
    </w:p>
    <w:p w14:paraId="0C42751D">
      <w:pPr>
        <w:spacing w:before="100" w:beforeLines="0" w:after="100" w:afterLines="0"/>
        <w:jc w:val="center"/>
        <w:rPr>
          <w:rFonts w:hint="eastAsia" w:ascii="宋体" w:hAnsi="宋体"/>
          <w:sz w:val="24"/>
          <w:szCs w:val="24"/>
          <w:lang w:val="zh-CN"/>
        </w:rPr>
      </w:pPr>
    </w:p>
    <w:p w14:paraId="6DED42A3">
      <w:pPr>
        <w:spacing w:before="100" w:beforeLines="0" w:after="100" w:afterLines="0"/>
        <w:jc w:val="center"/>
        <w:rPr>
          <w:rFonts w:hint="eastAsia" w:ascii="宋体" w:hAnsi="宋体"/>
          <w:sz w:val="24"/>
          <w:szCs w:val="24"/>
          <w:lang w:val="zh-CN"/>
        </w:rPr>
      </w:pPr>
    </w:p>
    <w:p w14:paraId="004F0E06">
      <w:pPr>
        <w:spacing w:before="100" w:beforeLines="0" w:after="100" w:afterLines="0"/>
        <w:jc w:val="center"/>
        <w:rPr>
          <w:rFonts w:hint="eastAsia" w:ascii="宋体" w:hAnsi="宋体"/>
          <w:sz w:val="24"/>
          <w:szCs w:val="24"/>
          <w:lang w:val="zh-CN"/>
        </w:rPr>
      </w:pPr>
    </w:p>
    <w:p w14:paraId="545619D4">
      <w:pPr>
        <w:spacing w:before="100" w:beforeLines="0" w:after="100" w:afterLines="0"/>
        <w:jc w:val="center"/>
        <w:rPr>
          <w:rFonts w:hint="eastAsia" w:ascii="宋体" w:hAnsi="宋体"/>
          <w:sz w:val="24"/>
          <w:szCs w:val="24"/>
          <w:lang w:val="zh-CN"/>
        </w:rPr>
      </w:pPr>
    </w:p>
    <w:p w14:paraId="181A6FC4">
      <w:pPr>
        <w:spacing w:before="100" w:beforeLines="0" w:after="100" w:afterLines="0"/>
        <w:jc w:val="center"/>
        <w:rPr>
          <w:rFonts w:hint="eastAsia" w:ascii="宋体" w:hAnsi="宋体"/>
          <w:sz w:val="24"/>
          <w:szCs w:val="24"/>
          <w:lang w:val="zh-CN"/>
        </w:rPr>
      </w:pPr>
    </w:p>
    <w:p w14:paraId="3EE5E745">
      <w:pPr>
        <w:spacing w:before="100" w:beforeLines="0" w:after="100" w:afterLines="0"/>
        <w:jc w:val="center"/>
        <w:rPr>
          <w:rFonts w:hint="eastAsia" w:ascii="宋体" w:hAnsi="宋体"/>
          <w:sz w:val="24"/>
          <w:szCs w:val="24"/>
          <w:lang w:val="zh-CN"/>
        </w:rPr>
      </w:pPr>
    </w:p>
    <w:p w14:paraId="1DCE83CA">
      <w:pPr>
        <w:spacing w:before="100" w:beforeLines="0" w:after="100" w:afterLines="0"/>
        <w:jc w:val="center"/>
        <w:rPr>
          <w:rFonts w:hint="eastAsia" w:ascii="宋体" w:hAnsi="宋体"/>
          <w:sz w:val="24"/>
          <w:szCs w:val="24"/>
          <w:lang w:val="zh-CN"/>
        </w:rPr>
      </w:pPr>
    </w:p>
    <w:p w14:paraId="14DB013A">
      <w:pPr>
        <w:spacing w:before="100" w:beforeLines="0" w:after="100" w:afterLines="0"/>
        <w:jc w:val="center"/>
        <w:rPr>
          <w:rFonts w:hint="eastAsia" w:ascii="宋体" w:hAnsi="宋体"/>
          <w:sz w:val="24"/>
          <w:szCs w:val="24"/>
          <w:lang w:val="zh-CN"/>
        </w:rPr>
      </w:pPr>
    </w:p>
    <w:p w14:paraId="6EFCFBB8">
      <w:pPr>
        <w:spacing w:before="100" w:beforeLines="0" w:after="100" w:afterLines="0"/>
        <w:jc w:val="center"/>
        <w:rPr>
          <w:rFonts w:hint="eastAsia" w:ascii="宋体" w:hAnsi="宋体"/>
          <w:sz w:val="24"/>
          <w:szCs w:val="24"/>
          <w:lang w:val="zh-CN"/>
        </w:rPr>
      </w:pPr>
    </w:p>
    <w:p w14:paraId="1BF0FCB3">
      <w:pPr>
        <w:spacing w:before="100" w:beforeLines="0" w:after="100" w:afterLines="0"/>
        <w:jc w:val="center"/>
        <w:rPr>
          <w:rFonts w:hint="eastAsia" w:ascii="宋体" w:hAnsi="宋体"/>
          <w:sz w:val="24"/>
          <w:szCs w:val="24"/>
          <w:lang w:val="zh-CN"/>
        </w:rPr>
      </w:pPr>
    </w:p>
    <w:p w14:paraId="67062771">
      <w:pPr>
        <w:spacing w:before="100" w:beforeLines="0" w:after="100" w:afterLines="0"/>
        <w:jc w:val="center"/>
        <w:rPr>
          <w:rFonts w:hint="eastAsia" w:ascii="宋体" w:hAnsi="宋体"/>
          <w:sz w:val="24"/>
          <w:szCs w:val="24"/>
          <w:lang w:val="zh-CN"/>
        </w:rPr>
      </w:pPr>
    </w:p>
    <w:p w14:paraId="63FD44D7">
      <w:pPr>
        <w:spacing w:before="100" w:beforeLines="0" w:after="100" w:afterLines="0"/>
        <w:jc w:val="center"/>
        <w:rPr>
          <w:rFonts w:hint="eastAsia" w:ascii="宋体" w:hAnsi="宋体"/>
          <w:sz w:val="24"/>
          <w:szCs w:val="24"/>
          <w:lang w:val="zh-CN"/>
        </w:rPr>
      </w:pPr>
    </w:p>
    <w:p w14:paraId="6BD4FAEB">
      <w:pPr>
        <w:spacing w:before="100" w:beforeLines="0" w:after="100" w:afterLines="0"/>
        <w:jc w:val="center"/>
        <w:rPr>
          <w:rFonts w:hint="eastAsia" w:ascii="宋体" w:hAnsi="宋体"/>
          <w:sz w:val="24"/>
          <w:szCs w:val="24"/>
          <w:lang w:val="zh-CN"/>
        </w:rPr>
      </w:pPr>
    </w:p>
    <w:p w14:paraId="1E3848A2">
      <w:pPr>
        <w:spacing w:before="100" w:beforeLines="0" w:after="100" w:afterLines="0"/>
        <w:jc w:val="center"/>
        <w:rPr>
          <w:rFonts w:hint="eastAsia" w:ascii="宋体" w:hAnsi="宋体"/>
          <w:sz w:val="24"/>
          <w:szCs w:val="24"/>
          <w:lang w:val="zh-CN"/>
        </w:rPr>
      </w:pPr>
    </w:p>
    <w:p w14:paraId="3912AAEF">
      <w:pPr>
        <w:spacing w:before="100" w:beforeLines="0" w:after="100" w:afterLines="0"/>
        <w:jc w:val="center"/>
        <w:rPr>
          <w:rFonts w:hint="eastAsia" w:ascii="宋体" w:hAnsi="宋体"/>
          <w:sz w:val="24"/>
          <w:szCs w:val="24"/>
          <w:lang w:val="zh-CN"/>
        </w:rPr>
      </w:pPr>
    </w:p>
    <w:p w14:paraId="23404B0F">
      <w:pPr>
        <w:spacing w:before="100" w:beforeLines="0" w:after="100" w:afterLines="0"/>
        <w:jc w:val="center"/>
        <w:rPr>
          <w:rFonts w:hint="eastAsia" w:ascii="宋体" w:hAnsi="宋体"/>
          <w:sz w:val="24"/>
          <w:szCs w:val="24"/>
          <w:lang w:val="zh-CN"/>
        </w:rPr>
      </w:pPr>
    </w:p>
    <w:p w14:paraId="4A3962FB">
      <w:pPr>
        <w:spacing w:before="100" w:beforeLines="0" w:after="100" w:afterLines="0"/>
        <w:jc w:val="center"/>
        <w:rPr>
          <w:rFonts w:hint="eastAsia" w:ascii="宋体" w:hAnsi="宋体"/>
          <w:sz w:val="24"/>
          <w:szCs w:val="24"/>
          <w:lang w:val="zh-CN"/>
        </w:rPr>
      </w:pPr>
    </w:p>
    <w:p w14:paraId="0EBD8000">
      <w:pPr>
        <w:spacing w:before="100" w:beforeLines="0" w:after="100" w:afterLines="0"/>
        <w:jc w:val="center"/>
        <w:rPr>
          <w:rFonts w:hint="eastAsia" w:ascii="宋体" w:hAnsi="宋体"/>
          <w:sz w:val="24"/>
          <w:szCs w:val="24"/>
          <w:lang w:val="zh-CN"/>
        </w:rPr>
      </w:pPr>
    </w:p>
    <w:p w14:paraId="46C41BC0">
      <w:pPr>
        <w:spacing w:before="100" w:beforeLines="0" w:after="100" w:afterLines="0"/>
        <w:jc w:val="center"/>
        <w:rPr>
          <w:rFonts w:hint="eastAsia" w:ascii="宋体" w:hAnsi="宋体"/>
          <w:sz w:val="24"/>
          <w:szCs w:val="24"/>
          <w:lang w:val="zh-CN"/>
        </w:rPr>
      </w:pPr>
    </w:p>
    <w:p w14:paraId="633B9FCB">
      <w:pPr>
        <w:spacing w:before="100" w:beforeLines="0" w:after="100" w:afterLines="0"/>
        <w:jc w:val="center"/>
        <w:rPr>
          <w:rFonts w:hint="eastAsia" w:ascii="黑体" w:hAnsi="黑体" w:eastAsia="黑体" w:cs="黑体"/>
          <w:b w:val="0"/>
          <w:bCs/>
          <w:sz w:val="32"/>
          <w:szCs w:val="32"/>
          <w:lang w:val="zh-CN"/>
        </w:rPr>
      </w:pPr>
      <w:r>
        <w:rPr>
          <w:rFonts w:hint="eastAsia" w:ascii="黑体" w:hAnsi="黑体" w:eastAsia="黑体" w:cs="黑体"/>
          <w:b w:val="0"/>
          <w:bCs/>
          <w:sz w:val="32"/>
          <w:szCs w:val="32"/>
          <w:lang w:val="zh-CN"/>
        </w:rPr>
        <w:t>第一部分</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val="zh-CN"/>
        </w:rPr>
        <w:t>部门概况</w:t>
      </w:r>
    </w:p>
    <w:p w14:paraId="54B7D011">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rPr>
      </w:pPr>
      <w:r>
        <w:rPr>
          <w:rFonts w:hint="eastAsia" w:ascii="黑体" w:hAnsi="黑体" w:eastAsia="黑体" w:cs="黑体"/>
          <w:sz w:val="32"/>
          <w:szCs w:val="32"/>
          <w:lang w:val="zh-CN"/>
        </w:rPr>
        <w:t>一、部门职责</w:t>
      </w:r>
    </w:p>
    <w:p w14:paraId="1BF8FFE2">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贯彻国家统计工作方面的法律、法规、规章和方针、政策，制定全县统计改革、统计建设规划；负责全县统计工作的组织、领导、协调、监督、指导和管理，确保统计数据真实、准确和及时；指导全县统计队伍建设。</w:t>
      </w:r>
    </w:p>
    <w:p w14:paraId="67A36295">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承担辖区内GDP、农村经济社会、工业、固定资产投资、建筑业、房地产、能源、批发、零售和住宿、餐饮业、劳动工资、科技、文化产业、服务业、社会、交通、运输、邮电、通信等专业统计年报和定期报表的布置、收集、审核、汇总、上报及国民经济核算和社会发展统计工作，汇总、整理和提供全县基本数据。</w:t>
      </w:r>
    </w:p>
    <w:p w14:paraId="44036147">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3、承担人口变动、城镇劳动力、失业率、国内旅游、社情民意、规下工业、建筑业小微企业、规下服务业、小微企业固定资产投资、规下企业创新、限下批零住餐、农业生产资料价格指数、零售物价指数和工业品出厂价格等专项（抽样）调查工作, 指导农村住户、城市住户、农产量等专项调查，汇总、整理和提供全县基本数据。</w:t>
      </w:r>
    </w:p>
    <w:p w14:paraId="392CA314">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4、承担全面小康、妇女、儿童、社会发展、投入产出、科研等专项统计监测工作，指导做好贫困监测和畜禽监测工作，汇总、整理和提供全县基本数据。</w:t>
      </w:r>
    </w:p>
    <w:p w14:paraId="1D70CB57">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5、负责组织实施全县农业普查、经济普查、人口普查等重大国情国力普查工作，汇总、整理和提供全县基本数据。</w:t>
      </w:r>
    </w:p>
    <w:p w14:paraId="709122E3">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6、负责全县统计法治宣传和执法检查，监督《统计法》《统计法实施条例》等统计法律法规规章的宣传和实施，依法查处统计违法违纪行为。</w:t>
      </w:r>
    </w:p>
    <w:p w14:paraId="25516819">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7、负责设计、制发地方性统计报表，检查、清理非法报表，审查、公布地方性统计资料，组织、协调联合完成跨行业统计调查任务。</w:t>
      </w:r>
    </w:p>
    <w:p w14:paraId="7B47F6B3">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8、负责编印统计年鉴、编发统计内刊、提供统计信息、开展统计分析、进行调查研究，完成地方补充和社会委托统计调查项目，为各级领导、经济主体和社会公众提供统计信息和咨询意见，实行统计监督。</w:t>
      </w:r>
    </w:p>
    <w:p w14:paraId="5C285DC4">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9、承担县委、县政府及上级业务部门交办的其他事项。</w:t>
      </w:r>
    </w:p>
    <w:p w14:paraId="2CDB8ABD">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10、职能转变。加强全县经济运行监测分析和经济运行预测研判。组织开展经济热点专题研究，为县委、县政府科学决策提供参考建议，发挥参谋助手作用。建立“三新”统计监测制度, 充分利用“三新”统计分类，进一步拓宽“三新”统计范围，逐步完善“三新”统计制度。</w:t>
      </w:r>
    </w:p>
    <w:p w14:paraId="0A7E373E">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rPr>
      </w:pPr>
      <w:r>
        <w:rPr>
          <w:rFonts w:hint="eastAsia" w:ascii="黑体" w:hAnsi="黑体" w:eastAsia="黑体" w:cs="黑体"/>
          <w:sz w:val="32"/>
          <w:szCs w:val="32"/>
          <w:lang w:val="zh-CN"/>
        </w:rPr>
        <w:t>二、机构设置</w:t>
      </w:r>
    </w:p>
    <w:p w14:paraId="42A37B18">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华池县统计局内设5个职能股室,包括:人秘综合股、执法监督股、农业农村股、工业投资股、商贸社会股。</w:t>
      </w:r>
    </w:p>
    <w:p w14:paraId="464B7285">
      <w:pPr>
        <w:spacing w:before="100" w:beforeLines="0" w:after="100" w:afterLines="0"/>
        <w:jc w:val="center"/>
        <w:rPr>
          <w:rFonts w:hint="eastAsia" w:ascii="宋体" w:hAnsi="宋体"/>
          <w:color w:val="auto"/>
          <w:sz w:val="24"/>
          <w:szCs w:val="24"/>
          <w:lang w:val="zh-CN"/>
        </w:rPr>
      </w:pPr>
      <w:r>
        <w:rPr>
          <w:rFonts w:hint="eastAsia" w:ascii="黑体" w:hAnsi="黑体" w:eastAsia="黑体" w:cs="黑体"/>
          <w:b w:val="0"/>
          <w:bCs/>
          <w:sz w:val="32"/>
          <w:szCs w:val="32"/>
          <w:lang w:val="zh-CN"/>
        </w:rPr>
        <w:t>第二部分2023年度部门决算表（见附件1）</w:t>
      </w:r>
    </w:p>
    <w:p w14:paraId="48D82098">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14:paraId="3566EBCC">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14:paraId="51C1BF01">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14:paraId="5BFE808F">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14:paraId="372569EC">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14:paraId="53051CE0">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14:paraId="14565748">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p>
    <w:p w14:paraId="1510CE32">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14:paraId="29B08C40">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p>
    <w:p w14:paraId="167756E9">
      <w:pPr>
        <w:spacing w:before="100" w:beforeLines="0" w:after="100" w:afterLines="0"/>
        <w:jc w:val="center"/>
        <w:rPr>
          <w:rFonts w:hint="eastAsia" w:ascii="黑体" w:hAnsi="黑体" w:eastAsia="黑体" w:cs="黑体"/>
          <w:b w:val="0"/>
          <w:bCs/>
          <w:sz w:val="32"/>
          <w:szCs w:val="32"/>
          <w:lang w:val="zh-CN"/>
        </w:rPr>
      </w:pPr>
      <w:r>
        <w:rPr>
          <w:rFonts w:hint="eastAsia" w:ascii="黑体" w:hAnsi="黑体" w:eastAsia="黑体" w:cs="黑体"/>
          <w:b w:val="0"/>
          <w:bCs/>
          <w:sz w:val="32"/>
          <w:szCs w:val="32"/>
          <w:lang w:val="zh-CN"/>
        </w:rPr>
        <w:t>第三部分2023年度部门决算情况说明</w:t>
      </w:r>
    </w:p>
    <w:p w14:paraId="4DD09B1E">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一、收入支出决算总体情况说明</w:t>
      </w:r>
    </w:p>
    <w:p w14:paraId="498F2380">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465.88万元。</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减少295.37万元,下降38.8%,主要原因是</w:t>
      </w:r>
      <w:r>
        <w:rPr>
          <w:rFonts w:hint="eastAsia" w:ascii="仿宋_GB2312" w:hAnsi="仿宋_GB2312" w:eastAsia="仿宋_GB2312" w:cs="仿宋_GB2312"/>
          <w:color w:val="auto"/>
          <w:sz w:val="32"/>
          <w:szCs w:val="32"/>
          <w:lang w:val="en-US" w:eastAsia="zh-CN"/>
        </w:rPr>
        <w:t>2023年结余结转资金为0，较上年减少274.28万元</w:t>
      </w:r>
      <w:r>
        <w:rPr>
          <w:rFonts w:hint="eastAsia" w:ascii="仿宋_GB2312" w:hAnsi="仿宋_GB2312" w:eastAsia="仿宋_GB2312" w:cs="仿宋_GB2312"/>
          <w:color w:val="auto"/>
          <w:sz w:val="32"/>
          <w:szCs w:val="32"/>
          <w:lang w:val="zh-CN"/>
        </w:rPr>
        <w:t>。</w:t>
      </w:r>
    </w:p>
    <w:p w14:paraId="3A1A7D45">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二、收入决算情况说明</w:t>
      </w:r>
    </w:p>
    <w:p w14:paraId="546128DE">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2023年度收入合计421.23万元,其中：财政拨款收入421.23万元,占100.00%。</w:t>
      </w:r>
    </w:p>
    <w:p w14:paraId="6E8F86D8">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三、支出决算情况说明</w:t>
      </w:r>
    </w:p>
    <w:p w14:paraId="0AB368F5">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2023年度支出合计465.88万元,其中：基本支出345.78万元,占74.22%；项目支出120.10万元,占25.78%。</w:t>
      </w:r>
    </w:p>
    <w:p w14:paraId="4CE92C6B">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四、财政拨款收入支出决算总体情况说明</w:t>
      </w:r>
    </w:p>
    <w:p w14:paraId="1FFDD812">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465.88万元。与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年相比,各减少295.36万元,下降38.8%。主要原因是</w:t>
      </w:r>
      <w:r>
        <w:rPr>
          <w:rFonts w:hint="eastAsia" w:ascii="仿宋_GB2312" w:hAnsi="仿宋_GB2312" w:eastAsia="仿宋_GB2312" w:cs="仿宋_GB2312"/>
          <w:color w:val="auto"/>
          <w:sz w:val="32"/>
          <w:szCs w:val="32"/>
          <w:lang w:val="en-US" w:eastAsia="zh-CN"/>
        </w:rPr>
        <w:t>2023年结余结转资金为0，较上年减少274.28万元</w:t>
      </w:r>
      <w:r>
        <w:rPr>
          <w:rFonts w:hint="eastAsia" w:ascii="仿宋_GB2312" w:hAnsi="仿宋_GB2312" w:eastAsia="仿宋_GB2312" w:cs="仿宋_GB2312"/>
          <w:color w:val="auto"/>
          <w:sz w:val="32"/>
          <w:szCs w:val="32"/>
          <w:lang w:val="zh-CN"/>
        </w:rPr>
        <w:t>。</w:t>
      </w:r>
    </w:p>
    <w:p w14:paraId="6C097AB1">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五、一般公共预算财政拨款支出决算情况说明</w:t>
      </w:r>
    </w:p>
    <w:p w14:paraId="3DB1436B">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楷体_GB2312" w:hAnsi="楷体_GB2312" w:eastAsia="楷体_GB2312" w:cs="楷体_GB2312"/>
          <w:b/>
          <w:bCs/>
          <w:color w:val="auto"/>
          <w:sz w:val="32"/>
          <w:szCs w:val="32"/>
          <w:lang w:val="zh-CN"/>
        </w:rPr>
      </w:pPr>
      <w:r>
        <w:rPr>
          <w:rFonts w:hint="eastAsia" w:ascii="楷体_GB2312" w:hAnsi="楷体_GB2312" w:eastAsia="楷体_GB2312" w:cs="楷体_GB2312"/>
          <w:b/>
          <w:bCs/>
          <w:color w:val="auto"/>
          <w:sz w:val="32"/>
          <w:szCs w:val="32"/>
          <w:lang w:val="zh-CN"/>
        </w:rPr>
        <w:t>（一）一般公共预算财政拨款支出决算总体情况</w:t>
      </w:r>
    </w:p>
    <w:p w14:paraId="181D9A22">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2023年度一般公共预算财政拨款支出465.88万元,较上年决算数减少21.08万元,下降4.33%。主要原因是</w:t>
      </w:r>
      <w:r>
        <w:rPr>
          <w:rFonts w:hint="eastAsia" w:ascii="仿宋_GB2312" w:hAnsi="仿宋_GB2312" w:eastAsia="仿宋_GB2312" w:cs="仿宋_GB2312"/>
          <w:color w:val="auto"/>
          <w:sz w:val="32"/>
          <w:szCs w:val="32"/>
          <w:lang w:val="en-US" w:eastAsia="zh-CN"/>
        </w:rPr>
        <w:t>2023年较2022年减少3人</w:t>
      </w:r>
      <w:r>
        <w:rPr>
          <w:rFonts w:hint="eastAsia" w:ascii="仿宋_GB2312" w:hAnsi="仿宋_GB2312" w:eastAsia="仿宋_GB2312" w:cs="仿宋_GB2312"/>
          <w:color w:val="auto"/>
          <w:sz w:val="32"/>
          <w:szCs w:val="32"/>
          <w:lang w:val="zh-CN"/>
        </w:rPr>
        <w:t>。</w:t>
      </w:r>
    </w:p>
    <w:p w14:paraId="330AD70A">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楷体_GB2312" w:hAnsi="楷体_GB2312" w:eastAsia="楷体_GB2312" w:cs="楷体_GB2312"/>
          <w:b/>
          <w:bCs/>
          <w:color w:val="auto"/>
          <w:sz w:val="32"/>
          <w:szCs w:val="32"/>
          <w:lang w:val="zh-CN"/>
        </w:rPr>
      </w:pPr>
      <w:r>
        <w:rPr>
          <w:rFonts w:hint="eastAsia" w:ascii="楷体_GB2312" w:hAnsi="楷体_GB2312" w:eastAsia="楷体_GB2312" w:cs="楷体_GB2312"/>
          <w:b/>
          <w:bCs/>
          <w:color w:val="auto"/>
          <w:sz w:val="32"/>
          <w:szCs w:val="32"/>
          <w:lang w:val="zh-CN"/>
        </w:rPr>
        <w:t>（</w:t>
      </w:r>
      <w:r>
        <w:rPr>
          <w:rFonts w:hint="eastAsia" w:ascii="楷体_GB2312" w:hAnsi="楷体_GB2312" w:eastAsia="楷体_GB2312" w:cs="楷体_GB2312"/>
          <w:b/>
          <w:bCs/>
          <w:color w:val="auto"/>
          <w:sz w:val="32"/>
          <w:szCs w:val="32"/>
          <w:lang w:val="en-US" w:eastAsia="zh-CN"/>
        </w:rPr>
        <w:t>二</w:t>
      </w:r>
      <w:r>
        <w:rPr>
          <w:rFonts w:hint="eastAsia" w:ascii="楷体_GB2312" w:hAnsi="楷体_GB2312" w:eastAsia="楷体_GB2312" w:cs="楷体_GB2312"/>
          <w:b/>
          <w:bCs/>
          <w:color w:val="auto"/>
          <w:sz w:val="32"/>
          <w:szCs w:val="32"/>
          <w:lang w:val="zh-CN"/>
        </w:rPr>
        <w:t>）一般公共预算财政拨款支出决算结构情况</w:t>
      </w:r>
    </w:p>
    <w:p w14:paraId="3FCC766F">
      <w:pPr>
        <w:keepNext w:val="0"/>
        <w:keepLines w:val="0"/>
        <w:pageBreakBefore w:val="0"/>
        <w:widowControl/>
        <w:kinsoku/>
        <w:wordWrap w:val="0"/>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2023年度一般公共预算财政拨款支出</w:t>
      </w:r>
      <w:r>
        <w:rPr>
          <w:rFonts w:hint="eastAsia" w:ascii="仿宋_GB2312" w:hAnsi="仿宋_GB2312" w:eastAsia="仿宋_GB2312" w:cs="仿宋_GB2312"/>
          <w:color w:val="auto"/>
          <w:sz w:val="32"/>
          <w:szCs w:val="32"/>
          <w:lang w:val="zh-CN"/>
        </w:rPr>
        <w:t>465.88万元，主要用于以下方面：一般公共服务支出418.48万元,占89.82%；社会保障和就业支出23.15万元,占4.97%；卫生健康支出16.65万元,占3.57%；农林水支出7.60万元,占1.63%。</w:t>
      </w:r>
    </w:p>
    <w:p w14:paraId="6B20FA0F">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楷体_GB2312" w:hAnsi="楷体_GB2312" w:eastAsia="楷体_GB2312" w:cs="楷体_GB2312"/>
          <w:b/>
          <w:bCs/>
          <w:color w:val="auto"/>
          <w:sz w:val="32"/>
          <w:szCs w:val="32"/>
          <w:lang w:val="zh-CN"/>
        </w:rPr>
      </w:pPr>
      <w:r>
        <w:rPr>
          <w:rFonts w:hint="eastAsia" w:ascii="楷体_GB2312" w:hAnsi="楷体_GB2312" w:eastAsia="楷体_GB2312" w:cs="楷体_GB2312"/>
          <w:b/>
          <w:bCs/>
          <w:color w:val="auto"/>
          <w:sz w:val="32"/>
          <w:szCs w:val="32"/>
          <w:lang w:val="zh-CN"/>
        </w:rPr>
        <w:t>（</w:t>
      </w:r>
      <w:r>
        <w:rPr>
          <w:rFonts w:hint="eastAsia" w:ascii="楷体_GB2312" w:hAnsi="楷体_GB2312" w:eastAsia="楷体_GB2312" w:cs="楷体_GB2312"/>
          <w:b/>
          <w:bCs/>
          <w:color w:val="auto"/>
          <w:sz w:val="32"/>
          <w:szCs w:val="32"/>
          <w:lang w:val="en-US" w:eastAsia="zh-CN"/>
        </w:rPr>
        <w:t>三</w:t>
      </w:r>
      <w:r>
        <w:rPr>
          <w:rFonts w:hint="eastAsia" w:ascii="楷体_GB2312" w:hAnsi="楷体_GB2312" w:eastAsia="楷体_GB2312" w:cs="楷体_GB2312"/>
          <w:b/>
          <w:bCs/>
          <w:color w:val="auto"/>
          <w:sz w:val="32"/>
          <w:szCs w:val="32"/>
          <w:lang w:val="zh-CN"/>
        </w:rPr>
        <w:t>）一般公共预算财政拨款支出决算具体情况。</w:t>
      </w:r>
    </w:p>
    <w:p w14:paraId="5A741D4B">
      <w:pPr>
        <w:keepNext w:val="0"/>
        <w:keepLines w:val="0"/>
        <w:pageBreakBefore w:val="0"/>
        <w:widowControl/>
        <w:numPr>
          <w:ilvl w:val="0"/>
          <w:numId w:val="0"/>
        </w:numPr>
        <w:kinsoku/>
        <w:wordWrap w:val="0"/>
        <w:overflowPunct/>
        <w:topLinePunct w:val="0"/>
        <w:autoSpaceDE/>
        <w:autoSpaceDN/>
        <w:bidi w:val="0"/>
        <w:adjustRightInd/>
        <w:snapToGrid/>
        <w:spacing w:beforeLines="0" w:afterLines="0" w:line="560" w:lineRule="exact"/>
        <w:ind w:leftChars="0"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2023年度一般公共预算财政拨款支出年初预算为</w:t>
      </w:r>
      <w:r>
        <w:rPr>
          <w:rFonts w:hint="eastAsia" w:ascii="仿宋_GB2312" w:hAnsi="仿宋_GB2312" w:eastAsia="仿宋_GB2312" w:cs="仿宋_GB2312"/>
          <w:color w:val="auto"/>
          <w:sz w:val="32"/>
          <w:szCs w:val="32"/>
          <w:lang w:val="zh-CN"/>
        </w:rPr>
        <w:t>448.57万元,支出决算为465.88万元,完成年初预算的103.86%。其中：</w:t>
      </w:r>
    </w:p>
    <w:p w14:paraId="69FE0769">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1．一般公共服务支出</w:t>
      </w:r>
      <w:r>
        <w:rPr>
          <w:rFonts w:hint="eastAsia" w:ascii="仿宋_GB2312" w:hAnsi="仿宋_GB2312" w:eastAsia="仿宋_GB2312" w:cs="仿宋_GB2312"/>
          <w:color w:val="auto"/>
          <w:sz w:val="32"/>
          <w:szCs w:val="32"/>
          <w:lang w:val="zh-CN"/>
        </w:rPr>
        <w:t>年初预算数为393.60万元,支出决算为418.48万元,完成年初预算的106.32%,决算数大于预算数的主要原因是</w:t>
      </w:r>
      <w:r>
        <w:rPr>
          <w:rFonts w:hint="eastAsia" w:ascii="仿宋_GB2312" w:hAnsi="仿宋_GB2312" w:eastAsia="仿宋_GB2312" w:cs="仿宋_GB2312"/>
          <w:color w:val="auto"/>
          <w:sz w:val="32"/>
          <w:szCs w:val="32"/>
          <w:lang w:val="en-US" w:eastAsia="zh-CN"/>
        </w:rPr>
        <w:t>2023年支出中含上年结转资金</w:t>
      </w:r>
      <w:r>
        <w:rPr>
          <w:rFonts w:hint="eastAsia" w:ascii="仿宋_GB2312" w:hAnsi="仿宋_GB2312" w:eastAsia="仿宋_GB2312" w:cs="仿宋_GB2312"/>
          <w:color w:val="auto"/>
          <w:sz w:val="32"/>
          <w:szCs w:val="32"/>
          <w:lang w:val="zh-CN"/>
        </w:rPr>
        <w:t>。</w:t>
      </w:r>
    </w:p>
    <w:p w14:paraId="3DD653AC">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年初预算数为40.00万元,支出决算为23.15万元,完成年初预算的57.87%,决算数小于预算数的主要原因是</w:t>
      </w:r>
      <w:r>
        <w:rPr>
          <w:rFonts w:hint="eastAsia" w:ascii="仿宋_GB2312" w:hAnsi="仿宋_GB2312" w:eastAsia="仿宋_GB2312" w:cs="仿宋_GB2312"/>
          <w:color w:val="auto"/>
          <w:sz w:val="32"/>
          <w:szCs w:val="32"/>
          <w:lang w:val="en-US" w:eastAsia="zh-CN"/>
        </w:rPr>
        <w:t>年初预算时含在职职工职业年金，2023年未支付职业年金</w:t>
      </w:r>
      <w:r>
        <w:rPr>
          <w:rFonts w:hint="eastAsia" w:ascii="仿宋_GB2312" w:hAnsi="仿宋_GB2312" w:eastAsia="仿宋_GB2312" w:cs="仿宋_GB2312"/>
          <w:color w:val="auto"/>
          <w:sz w:val="32"/>
          <w:szCs w:val="32"/>
          <w:lang w:val="zh-CN"/>
        </w:rPr>
        <w:t>。</w:t>
      </w:r>
    </w:p>
    <w:p w14:paraId="7238973B">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年初预算数为14.96万元,支出决算为16.65万元,完成年初预算的111.28%,决算数大于预算数的主要原因是</w:t>
      </w:r>
      <w:r>
        <w:rPr>
          <w:rFonts w:hint="eastAsia" w:ascii="仿宋_GB2312" w:hAnsi="仿宋_GB2312" w:eastAsia="仿宋_GB2312" w:cs="仿宋_GB2312"/>
          <w:color w:val="auto"/>
          <w:sz w:val="32"/>
          <w:szCs w:val="32"/>
          <w:lang w:val="en-US" w:eastAsia="zh-CN"/>
        </w:rPr>
        <w:t>2023年支付2022年12月医疗保险</w:t>
      </w:r>
      <w:r>
        <w:rPr>
          <w:rFonts w:hint="eastAsia" w:ascii="仿宋_GB2312" w:hAnsi="仿宋_GB2312" w:eastAsia="仿宋_GB2312" w:cs="仿宋_GB2312"/>
          <w:color w:val="auto"/>
          <w:sz w:val="32"/>
          <w:szCs w:val="32"/>
          <w:lang w:val="zh-CN"/>
        </w:rPr>
        <w:t>。</w:t>
      </w:r>
    </w:p>
    <w:p w14:paraId="3600A23D">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lang w:val="zh-CN"/>
        </w:rPr>
        <w:t>．农林水支出</w:t>
      </w:r>
      <w:r>
        <w:rPr>
          <w:rFonts w:hint="eastAsia" w:ascii="仿宋_GB2312" w:hAnsi="仿宋_GB2312" w:eastAsia="仿宋_GB2312" w:cs="仿宋_GB2312"/>
          <w:color w:val="auto"/>
          <w:sz w:val="32"/>
          <w:szCs w:val="32"/>
          <w:lang w:val="zh-CN"/>
        </w:rPr>
        <w:t>年初预算数为0.00万元,支出决算为7.60万元,决算数大于预算数的主要原因是</w:t>
      </w:r>
      <w:r>
        <w:rPr>
          <w:rFonts w:hint="eastAsia" w:ascii="仿宋_GB2312" w:hAnsi="仿宋_GB2312" w:eastAsia="仿宋_GB2312" w:cs="仿宋_GB2312"/>
          <w:color w:val="auto"/>
          <w:sz w:val="32"/>
          <w:szCs w:val="32"/>
          <w:lang w:val="en-US" w:eastAsia="zh-CN"/>
        </w:rPr>
        <w:t>年初预算时未预算</w:t>
      </w:r>
      <w:r>
        <w:rPr>
          <w:rFonts w:hint="eastAsia" w:ascii="仿宋_GB2312" w:hAnsi="仿宋_GB2312" w:eastAsia="仿宋_GB2312" w:cs="仿宋_GB2312"/>
          <w:color w:val="auto"/>
          <w:kern w:val="0"/>
          <w:sz w:val="32"/>
          <w:szCs w:val="32"/>
          <w:lang w:val="en-US" w:eastAsia="zh-CN"/>
        </w:rPr>
        <w:t>县直单位驻村干部补助经费</w:t>
      </w:r>
      <w:r>
        <w:rPr>
          <w:rFonts w:hint="eastAsia" w:ascii="仿宋_GB2312" w:hAnsi="仿宋_GB2312" w:eastAsia="仿宋_GB2312" w:cs="仿宋_GB2312"/>
          <w:color w:val="auto"/>
          <w:sz w:val="32"/>
          <w:szCs w:val="32"/>
          <w:lang w:val="zh-CN"/>
        </w:rPr>
        <w:t>。</w:t>
      </w:r>
    </w:p>
    <w:p w14:paraId="3815675A">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六、一般公共预算财政拨款基本支出决算情况说明</w:t>
      </w:r>
    </w:p>
    <w:p w14:paraId="0661AC45">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2023年度一般公共预算财政拨款基本支出345.78万元。其中：</w:t>
      </w:r>
    </w:p>
    <w:p w14:paraId="1F8B9920">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291.98万元,较上年决算数增加30.06万元,增长11.48%,主要原因是</w:t>
      </w:r>
      <w:r>
        <w:rPr>
          <w:rFonts w:hint="eastAsia" w:ascii="仿宋_GB2312" w:hAnsi="仿宋_GB2312" w:eastAsia="仿宋_GB2312" w:cs="仿宋_GB2312"/>
          <w:color w:val="auto"/>
          <w:sz w:val="32"/>
          <w:szCs w:val="32"/>
          <w:lang w:val="en-US" w:eastAsia="zh-CN"/>
        </w:rPr>
        <w:t>2023年工资中增加基础性绩效、2023年支付中人退休职业年金</w:t>
      </w:r>
      <w:r>
        <w:rPr>
          <w:rFonts w:hint="eastAsia" w:ascii="仿宋_GB2312" w:hAnsi="仿宋_GB2312" w:eastAsia="仿宋_GB2312" w:cs="仿宋_GB2312"/>
          <w:color w:val="auto"/>
          <w:sz w:val="32"/>
          <w:szCs w:val="32"/>
          <w:lang w:val="zh-CN"/>
        </w:rPr>
        <w:t>。人员经费用途主要包括基本工资、津贴补贴、奖金、社会保障缴费</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lang w:val="zh-CN"/>
        </w:rPr>
        <w:t>。</w:t>
      </w:r>
    </w:p>
    <w:p w14:paraId="52BD2FFD">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color w:val="auto"/>
          <w:sz w:val="32"/>
          <w:szCs w:val="32"/>
          <w:lang w:val="zh-CN"/>
        </w:rPr>
        <w:t>53.80万元,较上年决算数减少102.91万元,下降65.67%,主要原因是2023年将部分专项资金列入项目支出。</w:t>
      </w:r>
    </w:p>
    <w:p w14:paraId="5D2E1DF6">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七、政府性基金预算财政拨款收支决算情况说明</w:t>
      </w:r>
    </w:p>
    <w:p w14:paraId="69B69D52">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本部门2023年度无政府性基金收入,也没有使用政府性基金安排的支出。</w:t>
      </w:r>
    </w:p>
    <w:p w14:paraId="2DCC1682">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八、国有资本经营预算财政拨款支出情况说明</w:t>
      </w:r>
    </w:p>
    <w:p w14:paraId="191FF6E7">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本部门2023年度没有使用国有资本经营预算安排的支出。</w:t>
      </w:r>
    </w:p>
    <w:p w14:paraId="552DFF99">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en-US" w:eastAsia="zh-CN"/>
        </w:rPr>
        <w:t>九</w:t>
      </w:r>
      <w:r>
        <w:rPr>
          <w:rFonts w:hint="eastAsia" w:ascii="黑体" w:hAnsi="黑体" w:eastAsia="黑体" w:cs="黑体"/>
          <w:sz w:val="32"/>
          <w:szCs w:val="32"/>
          <w:lang w:val="zh-CN" w:eastAsia="zh-CN"/>
        </w:rPr>
        <w:t>、财政拨款</w:t>
      </w:r>
      <w:r>
        <w:rPr>
          <w:rFonts w:hint="default" w:ascii="黑体" w:hAnsi="黑体" w:eastAsia="黑体" w:cs="黑体"/>
          <w:sz w:val="32"/>
          <w:szCs w:val="32"/>
          <w:lang w:val="zh-CN" w:eastAsia="zh-CN"/>
        </w:rPr>
        <w:t>“</w:t>
      </w:r>
      <w:r>
        <w:rPr>
          <w:rFonts w:hint="eastAsia" w:ascii="黑体" w:hAnsi="黑体" w:eastAsia="黑体" w:cs="黑体"/>
          <w:sz w:val="32"/>
          <w:szCs w:val="32"/>
          <w:lang w:val="zh-CN" w:eastAsia="zh-CN"/>
        </w:rPr>
        <w:t>三公</w:t>
      </w:r>
      <w:r>
        <w:rPr>
          <w:rFonts w:hint="default" w:ascii="黑体" w:hAnsi="黑体" w:eastAsia="黑体" w:cs="黑体"/>
          <w:sz w:val="32"/>
          <w:szCs w:val="32"/>
          <w:lang w:val="zh-CN" w:eastAsia="zh-CN"/>
        </w:rPr>
        <w:t>”</w:t>
      </w:r>
      <w:r>
        <w:rPr>
          <w:rFonts w:hint="eastAsia" w:ascii="黑体" w:hAnsi="黑体" w:eastAsia="黑体" w:cs="黑体"/>
          <w:sz w:val="32"/>
          <w:szCs w:val="32"/>
          <w:lang w:val="zh-CN" w:eastAsia="zh-CN"/>
        </w:rPr>
        <w:t>经费支出决算情况说明</w:t>
      </w:r>
    </w:p>
    <w:p w14:paraId="6D2EFAE5">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(一)“三公”经费财政拨款支出总体情况说明</w:t>
      </w:r>
    </w:p>
    <w:p w14:paraId="6EA81596">
      <w:pPr>
        <w:keepNext w:val="0"/>
        <w:keepLines w:val="0"/>
        <w:pageBreakBefore w:val="0"/>
        <w:widowControl w:val="0"/>
        <w:kinsoku/>
        <w:wordWrap/>
        <w:overflowPunct/>
        <w:topLinePunct w:val="0"/>
        <w:autoSpaceDE w:val="0"/>
        <w:autoSpaceDN w:val="0"/>
        <w:bidi w:val="0"/>
        <w:adjustRightInd w:val="0"/>
        <w:spacing w:line="560" w:lineRule="exact"/>
        <w:ind w:firstLine="643"/>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2023年度“三公”经费支出</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预算数为0.19万元,支出决算为0.19万元,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增加0.19</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2022年未支付“三公”经费</w:t>
      </w:r>
      <w:r>
        <w:rPr>
          <w:rFonts w:hint="eastAsia" w:ascii="仿宋_GB2312" w:hAnsi="仿宋_GB2312" w:eastAsia="仿宋_GB2312" w:cs="仿宋_GB2312"/>
          <w:color w:val="auto"/>
          <w:sz w:val="32"/>
          <w:szCs w:val="32"/>
          <w:lang w:val="en-US"/>
        </w:rPr>
        <w:t>。</w:t>
      </w:r>
    </w:p>
    <w:p w14:paraId="2EB4B530">
      <w:pPr>
        <w:keepNext w:val="0"/>
        <w:keepLines w:val="0"/>
        <w:pageBreakBefore w:val="0"/>
        <w:widowControl/>
        <w:numPr>
          <w:ilvl w:val="0"/>
          <w:numId w:val="1"/>
        </w:numPr>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“三公”经费财政拨款支出决算具体情况说明</w:t>
      </w:r>
    </w:p>
    <w:p w14:paraId="39E97FCA">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1.因公出国(境)费用</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p>
    <w:p w14:paraId="6EE11DF2">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2.公务用车购置及运行维护费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p>
    <w:p w14:paraId="2CDEE45C">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其中：公务用车购置费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p>
    <w:p w14:paraId="540B851C">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公务用车运行维护费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p>
    <w:p w14:paraId="25588BEC">
      <w:pPr>
        <w:keepNext w:val="0"/>
        <w:keepLines w:val="0"/>
        <w:pageBreakBefore w:val="0"/>
        <w:widowControl/>
        <w:numPr>
          <w:numId w:val="0"/>
        </w:numPr>
        <w:kinsoku/>
        <w:wordWrap/>
        <w:overflowPunct/>
        <w:topLinePunct w:val="0"/>
        <w:autoSpaceDE/>
        <w:autoSpaceDN/>
        <w:bidi w:val="0"/>
        <w:adjustRightInd/>
        <w:snapToGrid/>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公务接待费</w:t>
      </w:r>
      <w:r>
        <w:rPr>
          <w:rFonts w:hint="eastAsia" w:ascii="仿宋_GB2312" w:hAnsi="仿宋_GB2312" w:eastAsia="仿宋_GB2312" w:cs="仿宋_GB2312"/>
          <w:color w:val="auto"/>
          <w:sz w:val="32"/>
          <w:szCs w:val="32"/>
          <w:lang w:val="en-US"/>
        </w:rPr>
        <w:t>全</w:t>
      </w:r>
      <w:r>
        <w:rPr>
          <w:rFonts w:hint="eastAsia" w:ascii="仿宋_GB2312" w:hAnsi="仿宋_GB2312" w:eastAsia="仿宋_GB2312" w:cs="仿宋_GB2312"/>
          <w:color w:val="auto"/>
          <w:sz w:val="32"/>
          <w:szCs w:val="32"/>
          <w:lang w:val="zh-CN"/>
        </w:rPr>
        <w:t>年预算数为0.19万元,支出决算为0.19万元,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增加0.19</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增长</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2022年未支付公务接待费</w:t>
      </w:r>
      <w:r>
        <w:rPr>
          <w:rFonts w:hint="eastAsia" w:ascii="仿宋_GB2312" w:hAnsi="仿宋_GB2312" w:eastAsia="仿宋_GB2312" w:cs="仿宋_GB2312"/>
          <w:color w:val="auto"/>
          <w:sz w:val="32"/>
          <w:szCs w:val="32"/>
          <w:lang w:val="zh-CN"/>
        </w:rPr>
        <w:t>。</w:t>
      </w:r>
    </w:p>
    <w:p w14:paraId="273A282F">
      <w:pPr>
        <w:keepNext w:val="0"/>
        <w:keepLines w:val="0"/>
        <w:pageBreakBefore w:val="0"/>
        <w:widowControl/>
        <w:numPr>
          <w:ilvl w:val="0"/>
          <w:numId w:val="0"/>
        </w:numPr>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000000" w:themeColor="text1"/>
          <w:sz w:val="32"/>
          <w:szCs w:val="32"/>
          <w:lang w:val="zh-CN"/>
          <w14:textFill>
            <w14:solidFill>
              <w14:schemeClr w14:val="tx1"/>
            </w14:solidFill>
          </w14:textFill>
        </w:rPr>
        <w:t>外事接待费支出0.00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其他国内公务接待支出</w:t>
      </w:r>
      <w:r>
        <w:rPr>
          <w:rFonts w:hint="eastAsia" w:ascii="仿宋_GB2312" w:hAnsi="仿宋_GB2312" w:eastAsia="仿宋_GB2312" w:cs="仿宋_GB2312"/>
          <w:color w:val="000000" w:themeColor="text1"/>
          <w:sz w:val="32"/>
          <w:szCs w:val="32"/>
          <w:lang w:val="zh-CN"/>
          <w14:textFill>
            <w14:solidFill>
              <w14:schemeClr w14:val="tx1"/>
            </w14:solidFill>
          </w14:textFill>
        </w:rPr>
        <w:t>0.19</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eastAsia="zh-CN"/>
        </w:rPr>
        <w:t>主要是接待省市上级部门</w:t>
      </w:r>
      <w:r>
        <w:rPr>
          <w:rFonts w:hint="eastAsia" w:ascii="仿宋_GB2312" w:hAnsi="仿宋_GB2312" w:eastAsia="仿宋_GB2312" w:cs="仿宋_GB2312"/>
          <w:color w:val="auto"/>
          <w:sz w:val="32"/>
          <w:szCs w:val="32"/>
          <w:lang w:val="zh-CN"/>
        </w:rPr>
        <w:t>。</w:t>
      </w:r>
    </w:p>
    <w:p w14:paraId="7ABFE532">
      <w:pPr>
        <w:keepNext w:val="0"/>
        <w:keepLines w:val="0"/>
        <w:pageBreakBefore w:val="0"/>
        <w:widowControl/>
        <w:numPr>
          <w:numId w:val="0"/>
        </w:numPr>
        <w:kinsoku/>
        <w:wordWrap/>
        <w:overflowPunct/>
        <w:topLinePunct w:val="0"/>
        <w:autoSpaceDE/>
        <w:autoSpaceDN/>
        <w:bidi w:val="0"/>
        <w:adjustRightInd/>
        <w:snapToGrid/>
        <w:spacing w:beforeLines="0" w:afterLines="0" w:line="560" w:lineRule="exact"/>
        <w:ind w:leftChars="20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w:t>
      </w:r>
      <w:r>
        <w:rPr>
          <w:rFonts w:hint="eastAsia" w:ascii="仿宋_GB2312" w:hAnsi="仿宋_GB2312" w:eastAsia="仿宋_GB2312" w:cs="仿宋_GB2312"/>
          <w:b/>
          <w:color w:val="auto"/>
          <w:sz w:val="32"/>
          <w:szCs w:val="32"/>
          <w:lang w:val="en-US" w:eastAsia="zh-CN"/>
        </w:rPr>
        <w:t>三</w:t>
      </w:r>
      <w:r>
        <w:rPr>
          <w:rFonts w:hint="eastAsia" w:ascii="仿宋_GB2312" w:hAnsi="仿宋_GB2312" w:eastAsia="仿宋_GB2312" w:cs="仿宋_GB2312"/>
          <w:b/>
          <w:color w:val="auto"/>
          <w:sz w:val="32"/>
          <w:szCs w:val="32"/>
          <w:lang w:val="zh-CN"/>
        </w:rPr>
        <w:t>）“三公”经费财政拨款支出决算实物量情况</w:t>
      </w:r>
    </w:p>
    <w:p w14:paraId="3D0CDD5E">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个团组,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color w:val="auto"/>
          <w:sz w:val="32"/>
          <w:szCs w:val="32"/>
          <w:lang w:val="zh-CN"/>
        </w:rPr>
        <w:t>7批次38人,其中：</w:t>
      </w:r>
      <w:r>
        <w:rPr>
          <w:rFonts w:hint="eastAsia" w:ascii="仿宋_GB2312" w:hAnsi="仿宋_GB2312" w:eastAsia="仿宋_GB2312" w:cs="仿宋_GB2312"/>
          <w:b/>
          <w:color w:val="auto"/>
          <w:sz w:val="32"/>
          <w:szCs w:val="32"/>
          <w:lang w:val="zh-CN"/>
        </w:rPr>
        <w:t>外事接待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b/>
          <w:color w:val="auto"/>
          <w:sz w:val="32"/>
          <w:szCs w:val="32"/>
          <w:lang w:val="zh-CN"/>
        </w:rPr>
        <w:t>国(境)外公务接待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p>
    <w:p w14:paraId="22CB8103">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en-US" w:eastAsia="zh-CN"/>
        </w:rPr>
        <w:t>十</w:t>
      </w:r>
      <w:r>
        <w:rPr>
          <w:rFonts w:hint="eastAsia" w:ascii="黑体" w:hAnsi="黑体" w:eastAsia="黑体" w:cs="黑体"/>
          <w:sz w:val="32"/>
          <w:szCs w:val="32"/>
          <w:lang w:val="zh-CN" w:eastAsia="zh-CN"/>
        </w:rPr>
        <w:t>、机关运行经费支出情况说明</w:t>
      </w:r>
    </w:p>
    <w:p w14:paraId="317918AE">
      <w:pPr>
        <w:keepNext w:val="0"/>
        <w:keepLines w:val="0"/>
        <w:pageBreakBefore w:val="0"/>
        <w:widowControl w:val="0"/>
        <w:kinsoku/>
        <w:wordWrap/>
        <w:overflowPunct/>
        <w:topLinePunct w:val="0"/>
        <w:bidi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zh-CN"/>
        </w:rPr>
        <w:t>2023年度本部门机关运行经费支出53.80万元,机关运行经费主要用于开支</w:t>
      </w:r>
      <w:r>
        <w:rPr>
          <w:rFonts w:hint="eastAsia" w:ascii="仿宋_GB2312" w:hAnsi="仿宋_GB2312" w:eastAsia="仿宋_GB2312" w:cs="仿宋_GB2312"/>
          <w:color w:val="auto"/>
          <w:sz w:val="32"/>
          <w:szCs w:val="32"/>
          <w:lang w:val="en-US" w:eastAsia="zh-CN"/>
        </w:rPr>
        <w:t>办公费、印刷费、水费、邮电费、差旅费等</w:t>
      </w:r>
      <w:r>
        <w:rPr>
          <w:rFonts w:hint="eastAsia" w:ascii="仿宋_GB2312" w:hAnsi="仿宋_GB2312" w:eastAsia="仿宋_GB2312" w:cs="仿宋_GB2312"/>
          <w:color w:val="auto"/>
          <w:sz w:val="32"/>
          <w:szCs w:val="32"/>
          <w:lang w:val="zh-CN"/>
        </w:rPr>
        <w:t>。机关运行经费较上年决算数减少102.9万元,下降65.66%,主要原因是</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2022年支出金额中含2020年、2021年结余资金</w:t>
      </w:r>
      <w:r>
        <w:rPr>
          <w:rFonts w:hint="eastAsia" w:ascii="仿宋_GB2312" w:hAnsi="仿宋_GB2312" w:eastAsia="仿宋_GB2312" w:cs="仿宋_GB2312"/>
          <w:sz w:val="32"/>
          <w:szCs w:val="32"/>
          <w:lang w:bidi="zh-HK"/>
        </w:rPr>
        <w:t>。</w:t>
      </w:r>
    </w:p>
    <w:p w14:paraId="00CF45FC">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本年度会议费支出0.00万元,较上年决算数减少4.66万元,下降100.0%,主要原因是因县级财政资金调度困难，202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年未支付会议费。本年度培训费支出0.02万元,较上年决算数减少9.64万元,下降99.79%,主要原因是因县级财政资金调度困难，202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年未支付</w:t>
      </w:r>
      <w:r>
        <w:rPr>
          <w:rFonts w:hint="eastAsia" w:ascii="仿宋_GB2312" w:hAnsi="仿宋_GB2312" w:eastAsia="仿宋_GB2312" w:cs="仿宋_GB2312"/>
          <w:color w:val="auto"/>
          <w:sz w:val="32"/>
          <w:szCs w:val="32"/>
          <w:lang w:val="en-US" w:eastAsia="zh-CN"/>
        </w:rPr>
        <w:t>培训</w:t>
      </w:r>
      <w:r>
        <w:rPr>
          <w:rFonts w:hint="eastAsia" w:ascii="仿宋_GB2312" w:hAnsi="仿宋_GB2312" w:eastAsia="仿宋_GB2312" w:cs="仿宋_GB2312"/>
          <w:color w:val="auto"/>
          <w:sz w:val="32"/>
          <w:szCs w:val="32"/>
          <w:lang w:val="zh-CN"/>
        </w:rPr>
        <w:t>费。</w:t>
      </w:r>
    </w:p>
    <w:p w14:paraId="4D46400F">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十一、政府采购支出情况说明</w:t>
      </w:r>
    </w:p>
    <w:p w14:paraId="1383462E">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政府采购支出合计43.19万元,其中：政府采购货物支出43.19万元、政府采购工程支出0.00万元、政府采购服务支出0.00万元。授予中小企业合同金额43.19万元,占政府采购支出总额的100.00%,其中：授予小微企业合同金额43.19万元,占政府采购支出总额的100.00%。</w:t>
      </w:r>
    </w:p>
    <w:p w14:paraId="3F374657">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en-US" w:eastAsia="zh-CN"/>
        </w:rPr>
        <w:t>十二</w:t>
      </w:r>
      <w:r>
        <w:rPr>
          <w:rFonts w:hint="eastAsia" w:ascii="黑体" w:hAnsi="黑体" w:eastAsia="黑体" w:cs="黑体"/>
          <w:sz w:val="32"/>
          <w:szCs w:val="32"/>
          <w:lang w:val="zh-CN" w:eastAsia="zh-CN"/>
        </w:rPr>
        <w:t>、国有资产占用情况说明</w:t>
      </w:r>
    </w:p>
    <w:p w14:paraId="08296289">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4CD95156">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十三、其他需要说明的情况</w:t>
      </w:r>
    </w:p>
    <w:p w14:paraId="206CFD01">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宋体" w:hAnsi="宋体"/>
          <w:color w:val="auto"/>
          <w:sz w:val="24"/>
          <w:szCs w:val="24"/>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14:paraId="1ACD721F">
      <w:pPr>
        <w:spacing w:before="100" w:beforeLines="0" w:after="100" w:afterLines="0"/>
        <w:jc w:val="center"/>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第四部分</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val="zh-CN" w:eastAsia="zh-CN"/>
        </w:rPr>
        <w:t>预算绩效情况说明</w:t>
      </w:r>
      <w:r>
        <w:rPr>
          <w:rFonts w:hint="eastAsia" w:ascii="黑体" w:hAnsi="黑体" w:eastAsia="黑体" w:cs="黑体"/>
          <w:b w:val="0"/>
          <w:bCs/>
          <w:sz w:val="32"/>
          <w:szCs w:val="32"/>
          <w:lang w:val="zh-CN"/>
        </w:rPr>
        <w:t>（见附件</w:t>
      </w:r>
      <w:r>
        <w:rPr>
          <w:rFonts w:hint="eastAsia" w:ascii="黑体" w:hAnsi="黑体" w:eastAsia="黑体" w:cs="黑体"/>
          <w:b w:val="0"/>
          <w:bCs/>
          <w:sz w:val="32"/>
          <w:szCs w:val="32"/>
          <w:lang w:val="en-US" w:eastAsia="zh-CN"/>
        </w:rPr>
        <w:t>2、3</w:t>
      </w:r>
      <w:r>
        <w:rPr>
          <w:rFonts w:hint="eastAsia" w:ascii="黑体" w:hAnsi="黑体" w:eastAsia="黑体" w:cs="黑体"/>
          <w:b w:val="0"/>
          <w:bCs/>
          <w:sz w:val="32"/>
          <w:szCs w:val="32"/>
          <w:lang w:val="zh-CN"/>
        </w:rPr>
        <w:t>）</w:t>
      </w:r>
    </w:p>
    <w:p w14:paraId="57D483E8">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一、预算绩效管理工作开展情况</w:t>
      </w:r>
    </w:p>
    <w:p w14:paraId="767F3043">
      <w:pPr>
        <w:keepNext/>
        <w:keepLines/>
        <w:pageBreakBefore w:val="0"/>
        <w:widowControl/>
        <w:suppressLineNumbers/>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kern w:val="0"/>
          <w:sz w:val="32"/>
          <w:szCs w:val="32"/>
          <w:lang w:val="en-US"/>
        </w:rPr>
        <w:t>根据预算绩效管理要求,本部门对</w:t>
      </w:r>
      <w:r>
        <w:rPr>
          <w:rFonts w:hint="eastAsia" w:ascii="仿宋_GB2312" w:hAnsi="仿宋_GB2312" w:eastAsia="仿宋_GB2312" w:cs="仿宋_GB2312"/>
          <w:color w:val="auto"/>
          <w:kern w:val="0"/>
          <w:sz w:val="32"/>
          <w:szCs w:val="32"/>
          <w:lang w:val="en-US" w:eastAsia="zh-CN"/>
        </w:rPr>
        <w:t>2023</w:t>
      </w:r>
      <w:r>
        <w:rPr>
          <w:rFonts w:hint="eastAsia" w:ascii="仿宋_GB2312" w:hAnsi="仿宋_GB2312" w:eastAsia="仿宋_GB2312" w:cs="仿宋_GB2312"/>
          <w:color w:val="auto"/>
          <w:kern w:val="0"/>
          <w:sz w:val="32"/>
          <w:szCs w:val="32"/>
          <w:lang w:val="en-US"/>
        </w:rPr>
        <w:t>年度一般公共预算支出全面开展绩效自评,其中一级项目</w:t>
      </w: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lang w:val="en-US"/>
        </w:rPr>
        <w:t>个共涉及资金</w:t>
      </w:r>
      <w:r>
        <w:rPr>
          <w:rFonts w:hint="eastAsia" w:ascii="仿宋_GB2312" w:hAnsi="仿宋_GB2312" w:eastAsia="仿宋_GB2312" w:cs="仿宋_GB2312"/>
          <w:color w:val="auto"/>
          <w:kern w:val="0"/>
          <w:sz w:val="32"/>
          <w:szCs w:val="32"/>
          <w:lang w:val="en-US" w:eastAsia="zh-CN"/>
        </w:rPr>
        <w:t>120.1万元</w:t>
      </w:r>
      <w:r>
        <w:rPr>
          <w:rFonts w:hint="eastAsia" w:ascii="仿宋_GB2312" w:hAnsi="仿宋_GB2312" w:eastAsia="仿宋_GB2312" w:cs="仿宋_GB2312"/>
          <w:color w:val="auto"/>
          <w:kern w:val="0"/>
          <w:sz w:val="32"/>
          <w:szCs w:val="32"/>
          <w:lang w:val="en-US"/>
        </w:rPr>
        <w:t>,占一般公共预算项目支出总额的</w:t>
      </w:r>
      <w:r>
        <w:rPr>
          <w:rFonts w:hint="eastAsia" w:ascii="仿宋_GB2312" w:hAnsi="仿宋_GB2312" w:eastAsia="仿宋_GB2312" w:cs="仿宋_GB2312"/>
          <w:color w:val="auto"/>
          <w:kern w:val="0"/>
          <w:sz w:val="32"/>
          <w:szCs w:val="32"/>
          <w:lang w:val="en-US" w:eastAsia="zh-CN"/>
        </w:rPr>
        <w:t>25.78</w:t>
      </w:r>
      <w:r>
        <w:rPr>
          <w:rFonts w:hint="eastAsia" w:ascii="仿宋_GB2312" w:hAnsi="仿宋_GB2312" w:eastAsia="仿宋_GB2312" w:cs="仿宋_GB2312"/>
          <w:color w:val="auto"/>
          <w:kern w:val="0"/>
          <w:sz w:val="32"/>
          <w:szCs w:val="32"/>
          <w:lang w:val="en-US"/>
        </w:rPr>
        <w:t>%。组织对县列为民办实事项目华池发展年鉴（2022）卷》、《统计资料年鉴提要》印刷费、城乡住户“一体化”记账员补助等</w:t>
      </w: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lang w:val="en-US"/>
        </w:rPr>
        <w:t>个项目开展了部门评价,涉及一般公共预算支出</w:t>
      </w:r>
      <w:r>
        <w:rPr>
          <w:rFonts w:hint="eastAsia" w:ascii="仿宋_GB2312" w:hAnsi="仿宋_GB2312" w:eastAsia="仿宋_GB2312" w:cs="仿宋_GB2312"/>
          <w:color w:val="auto"/>
          <w:kern w:val="0"/>
          <w:sz w:val="32"/>
          <w:szCs w:val="32"/>
          <w:lang w:val="en-US" w:eastAsia="zh-CN"/>
        </w:rPr>
        <w:t>120.1万元</w:t>
      </w:r>
      <w:r>
        <w:rPr>
          <w:rFonts w:hint="eastAsia" w:ascii="仿宋_GB2312" w:hAnsi="仿宋_GB2312" w:eastAsia="仿宋_GB2312" w:cs="仿宋_GB2312"/>
          <w:color w:val="auto"/>
          <w:kern w:val="0"/>
          <w:sz w:val="32"/>
          <w:szCs w:val="32"/>
          <w:lang w:val="en-US"/>
        </w:rPr>
        <w:t>。</w:t>
      </w:r>
      <w:r>
        <w:rPr>
          <w:rFonts w:hint="eastAsia" w:ascii="仿宋_GB2312" w:hAnsi="仿宋_GB2312" w:eastAsia="仿宋_GB2312" w:cs="仿宋_GB2312"/>
          <w:color w:val="000000"/>
          <w:kern w:val="0"/>
          <w:sz w:val="32"/>
          <w:szCs w:val="32"/>
          <w:lang w:val="en-US"/>
        </w:rPr>
        <w:t>从评价情况来看,</w:t>
      </w:r>
      <w:r>
        <w:rPr>
          <w:rFonts w:hint="eastAsia" w:ascii="仿宋_GB2312" w:hAnsi="仿宋_GB2312" w:eastAsia="仿宋_GB2312" w:cs="仿宋_GB2312"/>
          <w:color w:val="auto"/>
          <w:spacing w:val="0"/>
          <w:w w:val="100"/>
          <w:position w:val="0"/>
          <w:sz w:val="32"/>
          <w:szCs w:val="32"/>
          <w:lang w:val="zh-TW" w:eastAsia="zh-CN"/>
        </w:rPr>
        <w:t>项目自评价结果均为“优”。根据年初设定的绩效目标，项目总体完成情况较好，立项依据充分、预算编制合理、绩效目标明确、资金到位及时、预算执行进度较快；建立了相应的资金管理办法，完善了财务管理和内部控制等制度措施，有效保障了资金安全和绩效目标如期实现。</w:t>
      </w:r>
    </w:p>
    <w:p w14:paraId="33A75911">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二、绩效自评结果</w:t>
      </w:r>
    </w:p>
    <w:p w14:paraId="0F8A53CA">
      <w:pPr>
        <w:keepNext/>
        <w:keepLines/>
        <w:pageBreakBefore w:val="0"/>
        <w:widowControl/>
        <w:suppressLineNumbers/>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仿宋_GB2312" w:hAnsi="仿宋_GB2312" w:eastAsia="仿宋_GB2312" w:cs="仿宋_GB2312"/>
          <w:color w:val="auto"/>
          <w:kern w:val="0"/>
          <w:sz w:val="32"/>
          <w:szCs w:val="32"/>
          <w:lang w:val="en-US"/>
        </w:rPr>
      </w:pPr>
      <w:r>
        <w:rPr>
          <w:rFonts w:hint="eastAsia" w:ascii="仿宋_GB2312" w:hAnsi="仿宋_GB2312" w:eastAsia="仿宋_GB2312" w:cs="仿宋_GB2312"/>
          <w:color w:val="auto"/>
          <w:kern w:val="0"/>
          <w:sz w:val="32"/>
          <w:szCs w:val="32"/>
          <w:lang w:val="en-US"/>
        </w:rPr>
        <w:t>我部门在</w:t>
      </w:r>
      <w:r>
        <w:rPr>
          <w:rFonts w:hint="eastAsia" w:ascii="仿宋_GB2312" w:hAnsi="仿宋_GB2312" w:eastAsia="仿宋_GB2312" w:cs="仿宋_GB2312"/>
          <w:color w:val="auto"/>
          <w:kern w:val="0"/>
          <w:sz w:val="32"/>
          <w:szCs w:val="32"/>
          <w:lang w:val="en-US" w:eastAsia="zh-CN"/>
        </w:rPr>
        <w:t>2023</w:t>
      </w:r>
      <w:r>
        <w:rPr>
          <w:rFonts w:hint="eastAsia" w:ascii="仿宋_GB2312" w:hAnsi="仿宋_GB2312" w:eastAsia="仿宋_GB2312" w:cs="仿宋_GB2312"/>
          <w:color w:val="auto"/>
          <w:kern w:val="0"/>
          <w:sz w:val="32"/>
          <w:szCs w:val="32"/>
          <w:lang w:val="en-US"/>
        </w:rPr>
        <w:t>年度部门决算中反映</w:t>
      </w:r>
      <w:r>
        <w:rPr>
          <w:rFonts w:hint="eastAsia" w:ascii="仿宋_GB2312" w:hAnsi="仿宋_GB2312" w:eastAsia="仿宋_GB2312" w:cs="仿宋_GB2312"/>
          <w:color w:val="auto"/>
          <w:kern w:val="0"/>
          <w:sz w:val="32"/>
          <w:szCs w:val="32"/>
          <w:lang w:val="en-US" w:eastAsia="zh-CN"/>
        </w:rPr>
        <w:t>县列为民办实事项目华池发展年鉴（2022）卷》、《统计资料年鉴提要》印刷费</w:t>
      </w:r>
      <w:r>
        <w:rPr>
          <w:rFonts w:hint="eastAsia" w:ascii="仿宋_GB2312" w:hAnsi="仿宋_GB2312" w:eastAsia="仿宋_GB2312" w:cs="仿宋_GB2312"/>
          <w:color w:val="auto"/>
          <w:kern w:val="0"/>
          <w:sz w:val="32"/>
          <w:szCs w:val="32"/>
          <w:lang w:val="en-US"/>
        </w:rPr>
        <w:t>、</w:t>
      </w:r>
      <w:r>
        <w:rPr>
          <w:rFonts w:hint="eastAsia" w:ascii="仿宋_GB2312" w:hAnsi="仿宋_GB2312" w:eastAsia="仿宋_GB2312" w:cs="仿宋_GB2312"/>
          <w:color w:val="auto"/>
          <w:kern w:val="0"/>
          <w:sz w:val="32"/>
          <w:szCs w:val="32"/>
          <w:lang w:val="en-US" w:eastAsia="zh-CN"/>
        </w:rPr>
        <w:t>城乡住户“一体化”记账员补助</w:t>
      </w:r>
      <w:r>
        <w:rPr>
          <w:rFonts w:hint="eastAsia" w:ascii="仿宋_GB2312" w:hAnsi="仿宋_GB2312" w:eastAsia="仿宋_GB2312" w:cs="仿宋_GB2312"/>
          <w:color w:val="auto"/>
          <w:kern w:val="0"/>
          <w:sz w:val="32"/>
          <w:szCs w:val="32"/>
          <w:lang w:val="en-US"/>
        </w:rPr>
        <w:t>等</w:t>
      </w: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lang w:val="en-US"/>
        </w:rPr>
        <w:t>个项目绩效自评结果。</w:t>
      </w:r>
    </w:p>
    <w:p w14:paraId="1B5E83BA">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1、县列为民办实事项目（妇女“两癌”保险）项目</w:t>
      </w:r>
      <w:r>
        <w:rPr>
          <w:rFonts w:hint="eastAsia" w:ascii="仿宋_GB2312" w:hAnsi="仿宋_GB2312" w:eastAsia="仿宋_GB2312" w:cs="仿宋_GB2312"/>
          <w:color w:val="auto"/>
          <w:kern w:val="0"/>
          <w:sz w:val="32"/>
          <w:szCs w:val="32"/>
          <w:lang w:val="en-US"/>
        </w:rPr>
        <w:t>绩效自评情况</w:t>
      </w:r>
      <w:r>
        <w:rPr>
          <w:rFonts w:hint="eastAsia" w:ascii="仿宋_GB2312" w:hAnsi="仿宋_GB2312" w:eastAsia="仿宋_GB2312" w:cs="仿宋_GB2312"/>
          <w:color w:val="auto"/>
          <w:kern w:val="0"/>
          <w:sz w:val="32"/>
          <w:szCs w:val="32"/>
          <w:lang w:val="en-US" w:eastAsia="zh-CN"/>
        </w:rPr>
        <w:t>。该项目达到预期绩效目标。经全面综合评价，该项目绩效自评分为100分。</w:t>
      </w:r>
    </w:p>
    <w:p w14:paraId="4931CE59">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2、《华池发展年鉴（2022）卷》、《统计资料年鉴提要》印刷费项目</w:t>
      </w:r>
      <w:r>
        <w:rPr>
          <w:rFonts w:hint="eastAsia" w:ascii="仿宋_GB2312" w:hAnsi="仿宋_GB2312" w:eastAsia="仿宋_GB2312" w:cs="仿宋_GB2312"/>
          <w:color w:val="auto"/>
          <w:kern w:val="0"/>
          <w:sz w:val="32"/>
          <w:szCs w:val="32"/>
          <w:lang w:val="en-US"/>
        </w:rPr>
        <w:t>绩效自评情况</w:t>
      </w:r>
      <w:r>
        <w:rPr>
          <w:rFonts w:hint="eastAsia" w:ascii="仿宋_GB2312" w:hAnsi="仿宋_GB2312" w:eastAsia="仿宋_GB2312" w:cs="仿宋_GB2312"/>
          <w:color w:val="auto"/>
          <w:kern w:val="0"/>
          <w:sz w:val="32"/>
          <w:szCs w:val="32"/>
          <w:lang w:val="en-US" w:eastAsia="zh-CN"/>
        </w:rPr>
        <w:t>。该项目达到预期绩效目标。经全面综合评价，该项目绩效自评分为96分，扣分项为印刷完成时间未按计划时间完成扣2分，服务对象满意度扣2分。</w:t>
      </w:r>
    </w:p>
    <w:p w14:paraId="25903810">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 xml:space="preserve">    3、城乡住户“一体化”记账员补助项目</w:t>
      </w:r>
      <w:r>
        <w:rPr>
          <w:rFonts w:hint="eastAsia" w:ascii="仿宋_GB2312" w:hAnsi="仿宋_GB2312" w:eastAsia="仿宋_GB2312" w:cs="仿宋_GB2312"/>
          <w:color w:val="auto"/>
          <w:kern w:val="0"/>
          <w:sz w:val="32"/>
          <w:szCs w:val="32"/>
          <w:lang w:val="en-US"/>
        </w:rPr>
        <w:t>绩效自评情况</w:t>
      </w:r>
      <w:r>
        <w:rPr>
          <w:rFonts w:hint="eastAsia" w:ascii="仿宋_GB2312" w:hAnsi="仿宋_GB2312" w:eastAsia="仿宋_GB2312" w:cs="仿宋_GB2312"/>
          <w:color w:val="auto"/>
          <w:kern w:val="0"/>
          <w:sz w:val="32"/>
          <w:szCs w:val="32"/>
          <w:lang w:val="en-US" w:eastAsia="zh-CN"/>
        </w:rPr>
        <w:t>。该项目达到预期绩效目标。经全面综合评价，该项目绩效自评分为96分。补助未按季度发放扣4分。</w:t>
      </w:r>
    </w:p>
    <w:p w14:paraId="46C3E330">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 xml:space="preserve">    4、“四上”企业统计人员补助项目</w:t>
      </w:r>
      <w:r>
        <w:rPr>
          <w:rFonts w:hint="eastAsia" w:ascii="仿宋_GB2312" w:hAnsi="仿宋_GB2312" w:eastAsia="仿宋_GB2312" w:cs="仿宋_GB2312"/>
          <w:color w:val="auto"/>
          <w:kern w:val="0"/>
          <w:sz w:val="32"/>
          <w:szCs w:val="32"/>
          <w:lang w:val="en-US"/>
        </w:rPr>
        <w:t>绩效自评情况</w:t>
      </w:r>
      <w:r>
        <w:rPr>
          <w:rFonts w:hint="eastAsia" w:ascii="仿宋_GB2312" w:hAnsi="仿宋_GB2312" w:eastAsia="仿宋_GB2312" w:cs="仿宋_GB2312"/>
          <w:color w:val="auto"/>
          <w:kern w:val="0"/>
          <w:sz w:val="32"/>
          <w:szCs w:val="32"/>
          <w:lang w:val="en-US" w:eastAsia="zh-CN"/>
        </w:rPr>
        <w:t>。该项目达到预期绩效目标。经全面综合评价，该项目绩效自评分为97分。补助未按半年发放，扣2分；部分统计员未按时间发放满意度较低，扣1分。</w:t>
      </w:r>
    </w:p>
    <w:p w14:paraId="42DB4976">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 xml:space="preserve">    5、第七次人口普查及第四次全国经济普查经费项目</w:t>
      </w:r>
      <w:r>
        <w:rPr>
          <w:rFonts w:hint="eastAsia" w:ascii="仿宋_GB2312" w:hAnsi="仿宋_GB2312" w:eastAsia="仿宋_GB2312" w:cs="仿宋_GB2312"/>
          <w:color w:val="auto"/>
          <w:kern w:val="0"/>
          <w:sz w:val="32"/>
          <w:szCs w:val="32"/>
          <w:lang w:val="en-US"/>
        </w:rPr>
        <w:t>绩效自评情况</w:t>
      </w:r>
      <w:r>
        <w:rPr>
          <w:rFonts w:hint="eastAsia" w:ascii="仿宋_GB2312" w:hAnsi="仿宋_GB2312" w:eastAsia="仿宋_GB2312" w:cs="仿宋_GB2312"/>
          <w:color w:val="auto"/>
          <w:kern w:val="0"/>
          <w:sz w:val="32"/>
          <w:szCs w:val="32"/>
          <w:lang w:val="en-US" w:eastAsia="zh-CN"/>
        </w:rPr>
        <w:t>。该项目达到预期绩效目标。经全面综合评价，该项目绩效自评分为98分。资料汇编未按时间印刷完成，扣2分。</w:t>
      </w:r>
    </w:p>
    <w:p w14:paraId="466003E4">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 xml:space="preserve">    6、第五次全国经济普查经费项目</w:t>
      </w:r>
      <w:r>
        <w:rPr>
          <w:rFonts w:hint="eastAsia" w:ascii="仿宋_GB2312" w:hAnsi="仿宋_GB2312" w:eastAsia="仿宋_GB2312" w:cs="仿宋_GB2312"/>
          <w:color w:val="auto"/>
          <w:kern w:val="0"/>
          <w:sz w:val="32"/>
          <w:szCs w:val="32"/>
          <w:lang w:val="en-US"/>
        </w:rPr>
        <w:t>绩效自评情况</w:t>
      </w:r>
      <w:r>
        <w:rPr>
          <w:rFonts w:hint="eastAsia" w:ascii="仿宋_GB2312" w:hAnsi="仿宋_GB2312" w:eastAsia="仿宋_GB2312" w:cs="仿宋_GB2312"/>
          <w:color w:val="auto"/>
          <w:kern w:val="0"/>
          <w:sz w:val="32"/>
          <w:szCs w:val="32"/>
          <w:lang w:val="en-US" w:eastAsia="zh-CN"/>
        </w:rPr>
        <w:t>。该项目达到预期绩效目标。经全面综合评价，该项目绩效自评分为97分。部分调查对象满意度低扣3分。</w:t>
      </w:r>
    </w:p>
    <w:p w14:paraId="0F06599B">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 xml:space="preserve">    7、新入库企业一次性奖补（2022年）项目</w:t>
      </w:r>
      <w:r>
        <w:rPr>
          <w:rFonts w:hint="eastAsia" w:ascii="仿宋_GB2312" w:hAnsi="仿宋_GB2312" w:eastAsia="仿宋_GB2312" w:cs="仿宋_GB2312"/>
          <w:color w:val="auto"/>
          <w:kern w:val="0"/>
          <w:sz w:val="32"/>
          <w:szCs w:val="32"/>
          <w:lang w:val="en-US"/>
        </w:rPr>
        <w:t>绩效自评情况</w:t>
      </w:r>
      <w:r>
        <w:rPr>
          <w:rFonts w:hint="eastAsia" w:ascii="仿宋_GB2312" w:hAnsi="仿宋_GB2312" w:eastAsia="仿宋_GB2312" w:cs="仿宋_GB2312"/>
          <w:color w:val="auto"/>
          <w:kern w:val="0"/>
          <w:sz w:val="32"/>
          <w:szCs w:val="32"/>
          <w:lang w:val="en-US" w:eastAsia="zh-CN"/>
        </w:rPr>
        <w:t>。该项目达到预期绩效目标。经全面综合评价，该项目绩效自评分为98分。补助未按时间发放扣2分。</w:t>
      </w:r>
    </w:p>
    <w:p w14:paraId="162BD85E">
      <w:pPr>
        <w:keepNext w:val="0"/>
        <w:keepLines w:val="0"/>
        <w:pageBreakBefore w:val="0"/>
        <w:widowControl/>
        <w:kinsoku/>
        <w:wordWrap/>
        <w:overflowPunct/>
        <w:topLinePunct w:val="0"/>
        <w:autoSpaceDE/>
        <w:autoSpaceDN/>
        <w:bidi w:val="0"/>
        <w:adjustRightInd/>
        <w:snapToGrid/>
        <w:spacing w:beforeLines="0" w:afterLines="0" w:line="560" w:lineRule="exact"/>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 xml:space="preserve">    8、新增入库“四上”企业配发电脑项目</w:t>
      </w:r>
      <w:r>
        <w:rPr>
          <w:rFonts w:hint="eastAsia" w:ascii="仿宋_GB2312" w:hAnsi="仿宋_GB2312" w:eastAsia="仿宋_GB2312" w:cs="仿宋_GB2312"/>
          <w:color w:val="auto"/>
          <w:kern w:val="0"/>
          <w:sz w:val="32"/>
          <w:szCs w:val="32"/>
          <w:lang w:val="en-US"/>
        </w:rPr>
        <w:t>绩效自评情况</w:t>
      </w:r>
      <w:r>
        <w:rPr>
          <w:rFonts w:hint="eastAsia" w:ascii="仿宋_GB2312" w:hAnsi="仿宋_GB2312" w:eastAsia="仿宋_GB2312" w:cs="仿宋_GB2312"/>
          <w:color w:val="auto"/>
          <w:kern w:val="0"/>
          <w:sz w:val="32"/>
          <w:szCs w:val="32"/>
          <w:lang w:val="en-US" w:eastAsia="zh-CN"/>
        </w:rPr>
        <w:t>。该项目达到预期绩效目标。经全面综合评价，该项目绩效自评分为100分。</w:t>
      </w:r>
    </w:p>
    <w:p w14:paraId="5F393EA5">
      <w:pPr>
        <w:keepNext w:val="0"/>
        <w:keepLines w:val="0"/>
        <w:pageBreakBefore w:val="0"/>
        <w:widowControl/>
        <w:kinsoku/>
        <w:wordWrap/>
        <w:overflowPunct/>
        <w:topLinePunct w:val="0"/>
        <w:autoSpaceDE/>
        <w:autoSpaceDN/>
        <w:bidi w:val="0"/>
        <w:adjustRightInd/>
        <w:snapToGrid/>
        <w:spacing w:beforeLines="0" w:afterLines="0" w:line="560" w:lineRule="exact"/>
        <w:ind w:firstLine="48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9、县直单位驻村干部补助经费项目</w:t>
      </w:r>
      <w:r>
        <w:rPr>
          <w:rFonts w:hint="eastAsia" w:ascii="仿宋_GB2312" w:hAnsi="仿宋_GB2312" w:eastAsia="仿宋_GB2312" w:cs="仿宋_GB2312"/>
          <w:color w:val="auto"/>
          <w:kern w:val="0"/>
          <w:sz w:val="32"/>
          <w:szCs w:val="32"/>
          <w:lang w:val="en-US"/>
        </w:rPr>
        <w:t>绩效自评情况</w:t>
      </w:r>
      <w:r>
        <w:rPr>
          <w:rFonts w:hint="eastAsia" w:ascii="仿宋_GB2312" w:hAnsi="仿宋_GB2312" w:eastAsia="仿宋_GB2312" w:cs="仿宋_GB2312"/>
          <w:color w:val="auto"/>
          <w:kern w:val="0"/>
          <w:sz w:val="32"/>
          <w:szCs w:val="32"/>
          <w:lang w:val="en-US" w:eastAsia="zh-CN"/>
        </w:rPr>
        <w:t>。该项目达到预期绩效目标。经全面综合评价，该项目绩效自评分为100分。</w:t>
      </w:r>
    </w:p>
    <w:p w14:paraId="28E12ECB">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三、部门绩效评价结果</w:t>
      </w:r>
    </w:p>
    <w:p w14:paraId="42E0463B">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通过认真开展单位整体支出绩效目标自评，综合评分98分，评价结果为优。2023年我局部门整体绩效评价情况良好，资金预算、执行管理、收入支出、资产管理及信息公开等都严格按照有关要求进行，有效保证了机构运转，圆满完成了各项统计调查任务。</w:t>
      </w:r>
    </w:p>
    <w:p w14:paraId="1EE8D7D1">
      <w:pPr>
        <w:keepNext w:val="0"/>
        <w:keepLines w:val="0"/>
        <w:pageBreakBefore w:val="0"/>
        <w:widowControl/>
        <w:kinsoku/>
        <w:wordWrap/>
        <w:overflowPunct/>
        <w:topLinePunct w:val="0"/>
        <w:autoSpaceDE/>
        <w:autoSpaceDN/>
        <w:bidi w:val="0"/>
        <w:adjustRightInd/>
        <w:snapToGrid/>
        <w:spacing w:beforeLines="0" w:afterLines="0" w:line="560" w:lineRule="exact"/>
        <w:ind w:firstLine="0" w:firstLineChars="0"/>
        <w:jc w:val="center"/>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第五部分</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val="zh-CN" w:eastAsia="zh-CN"/>
        </w:rPr>
        <w:t>名词解释</w:t>
      </w:r>
    </w:p>
    <w:p w14:paraId="6182C373">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14:paraId="4CD16CC3">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14:paraId="59405CB8">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14:paraId="1B0084BB">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14:paraId="5B6301AD">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bCs/>
          <w:color w:val="auto"/>
          <w:sz w:val="32"/>
          <w:szCs w:val="32"/>
          <w:lang w:val="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14:paraId="58CA54AA">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14:paraId="153F8D46">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14:paraId="5BE32AF7">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14:paraId="7557A5D8">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14:paraId="4CEC7093">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14:paraId="0CA39165">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14:paraId="0184A211">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08A37FC">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08DA1270">
      <w:pPr>
        <w:keepNext w:val="0"/>
        <w:keepLines w:val="0"/>
        <w:pageBreakBefore w:val="0"/>
        <w:widowControl/>
        <w:kinsoku/>
        <w:wordWrap/>
        <w:overflowPunct/>
        <w:topLinePunct w:val="0"/>
        <w:autoSpaceDE/>
        <w:autoSpaceDN/>
        <w:bidi w:val="0"/>
        <w:adjustRightInd/>
        <w:snapToGrid/>
        <w:spacing w:beforeLines="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bookmarkStart w:id="0" w:name="_GoBack"/>
      <w:bookmarkEnd w:id="0"/>
    </w:p>
    <w:p w14:paraId="026B5FF0">
      <w:pPr>
        <w:spacing w:before="100" w:beforeLines="0" w:after="100" w:afterLines="0"/>
        <w:jc w:val="both"/>
        <w:rPr>
          <w:rFonts w:hint="eastAsia" w:ascii="仿宋_GB2312" w:hAnsi="仿宋_GB2312" w:eastAsia="仿宋_GB2312" w:cs="仿宋_GB2312"/>
          <w:color w:val="auto"/>
          <w:sz w:val="32"/>
          <w:szCs w:val="32"/>
          <w:lang w:val="zh-CN"/>
        </w:rPr>
      </w:pPr>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1Mzc2N2Q4MWNlNjFlYmU3OGM3ZTRiZDQzYjVkMWQifQ=="/>
  </w:docVars>
  <w:rsids>
    <w:rsidRoot w:val="00000000"/>
    <w:rsid w:val="03186459"/>
    <w:rsid w:val="039B5B6E"/>
    <w:rsid w:val="05BE3D95"/>
    <w:rsid w:val="06DF2215"/>
    <w:rsid w:val="07B17E2B"/>
    <w:rsid w:val="0CC3275F"/>
    <w:rsid w:val="0E2137B5"/>
    <w:rsid w:val="0FC621C4"/>
    <w:rsid w:val="16B03286"/>
    <w:rsid w:val="19EC6CCB"/>
    <w:rsid w:val="22D0456A"/>
    <w:rsid w:val="265005E2"/>
    <w:rsid w:val="2CA945A8"/>
    <w:rsid w:val="2D1E7CDE"/>
    <w:rsid w:val="2E0979F4"/>
    <w:rsid w:val="32A93554"/>
    <w:rsid w:val="32F3178E"/>
    <w:rsid w:val="34545741"/>
    <w:rsid w:val="358D0F0B"/>
    <w:rsid w:val="37C31629"/>
    <w:rsid w:val="3919253D"/>
    <w:rsid w:val="3CEF3F4F"/>
    <w:rsid w:val="436C6603"/>
    <w:rsid w:val="46C6427C"/>
    <w:rsid w:val="49D62A28"/>
    <w:rsid w:val="4C213D03"/>
    <w:rsid w:val="4C885B30"/>
    <w:rsid w:val="52ED0DE3"/>
    <w:rsid w:val="53F51CFD"/>
    <w:rsid w:val="54686973"/>
    <w:rsid w:val="54E35FFA"/>
    <w:rsid w:val="573C1866"/>
    <w:rsid w:val="5BCB77E7"/>
    <w:rsid w:val="5D2418A5"/>
    <w:rsid w:val="5D5C103F"/>
    <w:rsid w:val="5F553F98"/>
    <w:rsid w:val="660F30F2"/>
    <w:rsid w:val="6760797E"/>
    <w:rsid w:val="67A1421E"/>
    <w:rsid w:val="69831701"/>
    <w:rsid w:val="6BCF3FC4"/>
    <w:rsid w:val="6D6905BC"/>
    <w:rsid w:val="6DE50BDD"/>
    <w:rsid w:val="711E068D"/>
    <w:rsid w:val="727442DD"/>
    <w:rsid w:val="7A4153ED"/>
    <w:rsid w:val="7B276391"/>
    <w:rsid w:val="7B7535A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70a3bbc7-5172-4369-a427-2f332329f1c4}">
  <ds:schemaRefs/>
</ds:datastoreItem>
</file>

<file path=customXml/itemProps2.xml><?xml version="1.0" encoding="utf-8"?>
<ds:datastoreItem xmlns:ds="http://schemas.openxmlformats.org/officeDocument/2006/customXml" ds:itemID="{0ec836d9-85eb-49c3-909a-13d5dc137585}">
  <ds:schemaRefs/>
</ds:datastoreItem>
</file>

<file path=customXml/itemProps3.xml><?xml version="1.0" encoding="utf-8"?>
<ds:datastoreItem xmlns:ds="http://schemas.openxmlformats.org/officeDocument/2006/customXml" ds:itemID="{357fd7dd-35c7-4de9-b763-6ad380ab32c5}">
  <ds:schemaRefs/>
</ds:datastoreItem>
</file>

<file path=customXml/itemProps4.xml><?xml version="1.0" encoding="utf-8"?>
<ds:datastoreItem xmlns:ds="http://schemas.openxmlformats.org/officeDocument/2006/customXml" ds:itemID="{d72f64bc-ac42-482b-8f99-fb3b68e1b6e6}">
  <ds:schemaRefs/>
</ds:datastoreItem>
</file>

<file path=customXml/itemProps5.xml><?xml version="1.0" encoding="utf-8"?>
<ds:datastoreItem xmlns:ds="http://schemas.openxmlformats.org/officeDocument/2006/customXml" ds:itemID="{7b0293cc-41a7-4bae-99a7-8af2fb17d7ec}">
  <ds:schemaRefs/>
</ds:datastoreItem>
</file>

<file path=customXml/itemProps6.xml><?xml version="1.0" encoding="utf-8"?>
<ds:datastoreItem xmlns:ds="http://schemas.openxmlformats.org/officeDocument/2006/customXml" ds:itemID="{189a4ead-c60d-42c6-8c69-725f2ebdae46}">
  <ds:schemaRefs/>
</ds:datastoreItem>
</file>

<file path=customXml/itemProps7.xml><?xml version="1.0" encoding="utf-8"?>
<ds:datastoreItem xmlns:ds="http://schemas.openxmlformats.org/officeDocument/2006/customXml" ds:itemID="{9f9904f4-1580-4544-a238-62a74de45e10}">
  <ds:schemaRefs/>
</ds:datastoreItem>
</file>

<file path=customXml/itemProps8.xml><?xml version="1.0" encoding="utf-8"?>
<ds:datastoreItem xmlns:ds="http://schemas.openxmlformats.org/officeDocument/2006/customXml" ds:itemID="{d12882a9-dd79-46f6-ae0c-b3a39a6157f7}">
  <ds:schemaRefs/>
</ds:datastoreItem>
</file>

<file path=customXml/itemProps9.xml><?xml version="1.0" encoding="utf-8"?>
<ds:datastoreItem xmlns:ds="http://schemas.openxmlformats.org/officeDocument/2006/customXml" ds:itemID="{506ba919-4584-428e-8147-0331f9800b2b}">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5608</Words>
  <Characters>6133</Characters>
  <Lines>0</Lines>
  <Paragraphs>0</Paragraphs>
  <TotalTime>9</TotalTime>
  <ScaleCrop>false</ScaleCrop>
  <LinksUpToDate>false</LinksUpToDate>
  <CharactersWithSpaces>6164</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1392110434</cp:lastModifiedBy>
  <dcterms:modified xsi:type="dcterms:W3CDTF">2024-09-18T01:31:28Z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E06D266F13EA4024808CEEADBAD91186_11</vt:lpwstr>
  </property>
</Properties>
</file>