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79533">
      <w:pPr>
        <w:spacing w:before="100" w:beforeLines="0" w:after="100" w:afterLines="0"/>
        <w:jc w:val="center"/>
        <w:rPr>
          <w:rFonts w:hint="eastAsia" w:ascii="宋体" w:hAnsi="宋体"/>
          <w:sz w:val="24"/>
          <w:szCs w:val="24"/>
          <w:lang w:val="zh-CN"/>
        </w:rPr>
      </w:pPr>
    </w:p>
    <w:p w14:paraId="29DCABDC">
      <w:pPr>
        <w:spacing w:before="100" w:beforeLines="0" w:after="100" w:afterLines="0"/>
        <w:jc w:val="center"/>
        <w:rPr>
          <w:rFonts w:hint="eastAsia" w:ascii="宋体" w:hAnsi="宋体"/>
          <w:sz w:val="24"/>
          <w:szCs w:val="24"/>
          <w:lang w:val="zh-CN"/>
        </w:rPr>
      </w:pPr>
    </w:p>
    <w:p w14:paraId="0A8D2266">
      <w:pPr>
        <w:spacing w:before="100" w:beforeLines="0" w:after="100" w:afterLines="0"/>
        <w:jc w:val="center"/>
        <w:rPr>
          <w:rFonts w:hint="eastAsia" w:ascii="宋体" w:hAnsi="宋体"/>
          <w:sz w:val="24"/>
          <w:szCs w:val="24"/>
          <w:lang w:val="zh-CN"/>
        </w:rPr>
      </w:pPr>
    </w:p>
    <w:p w14:paraId="10F46E71">
      <w:pPr>
        <w:spacing w:before="100" w:beforeLines="0" w:after="100" w:afterLines="0"/>
        <w:jc w:val="center"/>
        <w:rPr>
          <w:rFonts w:hint="eastAsia" w:ascii="宋体" w:hAnsi="宋体"/>
          <w:sz w:val="24"/>
          <w:szCs w:val="24"/>
          <w:lang w:val="zh-CN"/>
        </w:rPr>
      </w:pPr>
    </w:p>
    <w:p w14:paraId="2101A861">
      <w:pPr>
        <w:spacing w:before="100" w:beforeLines="0" w:after="100" w:afterLines="0"/>
        <w:jc w:val="center"/>
        <w:rPr>
          <w:rFonts w:hint="eastAsia" w:ascii="宋体" w:hAnsi="宋体"/>
          <w:sz w:val="24"/>
          <w:szCs w:val="24"/>
          <w:lang w:val="zh-CN"/>
        </w:rPr>
      </w:pPr>
    </w:p>
    <w:p w14:paraId="0D836644">
      <w:pPr>
        <w:spacing w:before="100" w:beforeLines="0" w:after="100" w:afterLines="0"/>
        <w:jc w:val="center"/>
        <w:rPr>
          <w:rFonts w:hint="eastAsia" w:ascii="宋体" w:hAnsi="宋体"/>
          <w:sz w:val="24"/>
          <w:szCs w:val="24"/>
          <w:lang w:val="zh-CN"/>
        </w:rPr>
      </w:pPr>
    </w:p>
    <w:p w14:paraId="70D49486">
      <w:pPr>
        <w:spacing w:before="100" w:beforeLines="0" w:after="100" w:afterLines="0"/>
        <w:jc w:val="center"/>
        <w:rPr>
          <w:rFonts w:hint="eastAsia" w:ascii="宋体" w:hAnsi="宋体"/>
          <w:sz w:val="24"/>
          <w:szCs w:val="24"/>
          <w:lang w:val="zh-CN"/>
        </w:rPr>
      </w:pPr>
    </w:p>
    <w:p w14:paraId="232ECEA1">
      <w:pPr>
        <w:spacing w:before="100" w:beforeLines="0" w:after="100" w:afterLines="0"/>
        <w:jc w:val="center"/>
        <w:rPr>
          <w:rFonts w:hint="eastAsia" w:ascii="宋体" w:hAnsi="宋体"/>
          <w:sz w:val="24"/>
          <w:szCs w:val="24"/>
          <w:lang w:val="zh-CN"/>
        </w:rPr>
      </w:pPr>
    </w:p>
    <w:p w14:paraId="744DEA56">
      <w:pPr>
        <w:spacing w:before="100" w:beforeLines="0" w:after="100" w:afterLines="0"/>
        <w:jc w:val="center"/>
        <w:rPr>
          <w:rFonts w:hint="eastAsia" w:ascii="宋体" w:hAnsi="宋体"/>
          <w:sz w:val="24"/>
          <w:szCs w:val="24"/>
          <w:lang w:val="zh-CN"/>
        </w:rPr>
      </w:pPr>
    </w:p>
    <w:p w14:paraId="039C7401">
      <w:pPr>
        <w:spacing w:before="100" w:beforeLines="0" w:after="100" w:afterLines="0"/>
        <w:jc w:val="center"/>
        <w:rPr>
          <w:rFonts w:hint="eastAsia" w:ascii="宋体" w:hAnsi="宋体"/>
          <w:sz w:val="24"/>
          <w:szCs w:val="24"/>
          <w:lang w:val="zh-CN"/>
        </w:rPr>
      </w:pPr>
    </w:p>
    <w:p w14:paraId="5154E3A8">
      <w:pPr>
        <w:spacing w:before="100" w:beforeLines="0" w:after="100" w:afterLines="0"/>
        <w:jc w:val="center"/>
        <w:rPr>
          <w:rFonts w:hint="eastAsia" w:ascii="宋体" w:hAnsi="宋体"/>
          <w:sz w:val="24"/>
          <w:szCs w:val="24"/>
          <w:lang w:val="zh-CN"/>
        </w:rPr>
      </w:pPr>
    </w:p>
    <w:p w14:paraId="1011F83D">
      <w:pPr>
        <w:spacing w:before="100" w:beforeLines="0" w:after="100" w:afterLines="0"/>
        <w:jc w:val="center"/>
        <w:rPr>
          <w:rFonts w:hint="eastAsia" w:ascii="宋体" w:hAnsi="宋体"/>
          <w:sz w:val="44"/>
          <w:szCs w:val="44"/>
          <w:lang w:val="zh-CN"/>
        </w:rPr>
      </w:pPr>
    </w:p>
    <w:p w14:paraId="5B3761C9">
      <w:pPr>
        <w:spacing w:before="100" w:beforeLines="0" w:after="100" w:afterLines="0"/>
        <w:jc w:val="center"/>
        <w:rPr>
          <w:rFonts w:hint="eastAsia" w:ascii="方正小标宋简体" w:hAnsi="方正小标宋简体" w:eastAsia="方正小标宋简体" w:cs="方正小标宋简体"/>
          <w:sz w:val="48"/>
          <w:szCs w:val="48"/>
          <w:lang w:val="zh-CN"/>
        </w:rPr>
      </w:pPr>
      <w:r>
        <w:rPr>
          <w:rFonts w:hint="eastAsia" w:ascii="方正小标宋简体" w:hAnsi="方正小标宋简体" w:eastAsia="方正小标宋简体" w:cs="方正小标宋简体"/>
          <w:sz w:val="48"/>
          <w:szCs w:val="48"/>
          <w:lang w:val="zh-CN"/>
        </w:rPr>
        <w:t>2023年度</w:t>
      </w:r>
    </w:p>
    <w:p w14:paraId="46F6128B">
      <w:pPr>
        <w:spacing w:before="100" w:beforeLines="0" w:after="100" w:afterLines="0"/>
        <w:jc w:val="center"/>
        <w:rPr>
          <w:rFonts w:hint="eastAsia" w:ascii="方正小标宋简体" w:hAnsi="方正小标宋简体" w:eastAsia="方正小标宋简体" w:cs="方正小标宋简体"/>
          <w:sz w:val="48"/>
          <w:szCs w:val="48"/>
          <w:lang w:val="zh-CN"/>
        </w:rPr>
      </w:pPr>
      <w:r>
        <w:rPr>
          <w:rFonts w:hint="eastAsia" w:ascii="方正小标宋简体" w:hAnsi="方正小标宋简体" w:eastAsia="方正小标宋简体" w:cs="方正小标宋简体"/>
          <w:sz w:val="48"/>
          <w:szCs w:val="48"/>
          <w:lang w:val="zh-CN"/>
        </w:rPr>
        <w:t>华池县人民政府政务服务中心部门决算</w:t>
      </w:r>
    </w:p>
    <w:p w14:paraId="0D79A1D8">
      <w:pPr>
        <w:spacing w:before="100" w:beforeLines="0" w:after="100" w:afterLines="0"/>
        <w:jc w:val="center"/>
        <w:rPr>
          <w:rFonts w:hint="eastAsia" w:ascii="方正小标宋简体" w:hAnsi="方正小标宋简体" w:eastAsia="方正小标宋简体" w:cs="方正小标宋简体"/>
          <w:sz w:val="48"/>
          <w:szCs w:val="48"/>
          <w:lang w:val="zh-CN"/>
        </w:rPr>
      </w:pPr>
    </w:p>
    <w:p w14:paraId="701B54AD">
      <w:pPr>
        <w:spacing w:before="100" w:beforeLines="0" w:after="100" w:afterLines="0"/>
        <w:jc w:val="center"/>
        <w:rPr>
          <w:rFonts w:hint="eastAsia" w:ascii="宋体" w:hAnsi="宋体"/>
          <w:sz w:val="24"/>
          <w:szCs w:val="24"/>
          <w:lang w:val="zh-CN"/>
        </w:rPr>
      </w:pPr>
    </w:p>
    <w:p w14:paraId="7D28697C">
      <w:pPr>
        <w:spacing w:before="100" w:beforeLines="0" w:after="100" w:afterLines="0"/>
        <w:jc w:val="center"/>
        <w:rPr>
          <w:rFonts w:hint="eastAsia" w:ascii="宋体" w:hAnsi="宋体"/>
          <w:sz w:val="24"/>
          <w:szCs w:val="24"/>
          <w:lang w:val="zh-CN"/>
        </w:rPr>
      </w:pPr>
    </w:p>
    <w:p w14:paraId="4635FB83">
      <w:pPr>
        <w:spacing w:before="100" w:beforeLines="0" w:after="100" w:afterLines="0"/>
        <w:jc w:val="center"/>
        <w:rPr>
          <w:rFonts w:hint="eastAsia" w:ascii="宋体" w:hAnsi="宋体"/>
          <w:sz w:val="24"/>
          <w:szCs w:val="24"/>
          <w:lang w:val="zh-CN"/>
        </w:rPr>
      </w:pPr>
    </w:p>
    <w:p w14:paraId="40FA682C">
      <w:pPr>
        <w:spacing w:before="100" w:beforeLines="0" w:after="100" w:afterLines="0"/>
        <w:jc w:val="center"/>
        <w:rPr>
          <w:rFonts w:hint="eastAsia" w:ascii="宋体" w:hAnsi="宋体"/>
          <w:sz w:val="24"/>
          <w:szCs w:val="24"/>
          <w:lang w:val="zh-CN"/>
        </w:rPr>
      </w:pPr>
    </w:p>
    <w:p w14:paraId="604EA994">
      <w:pPr>
        <w:spacing w:before="100" w:beforeLines="0" w:after="100" w:afterLines="0"/>
        <w:jc w:val="center"/>
        <w:rPr>
          <w:rFonts w:hint="eastAsia" w:ascii="宋体" w:hAnsi="宋体"/>
          <w:sz w:val="24"/>
          <w:szCs w:val="24"/>
          <w:lang w:val="zh-CN"/>
        </w:rPr>
      </w:pPr>
    </w:p>
    <w:p w14:paraId="53837F77">
      <w:pPr>
        <w:spacing w:before="100" w:beforeLines="0" w:after="100" w:afterLines="0"/>
        <w:jc w:val="center"/>
        <w:rPr>
          <w:rFonts w:hint="eastAsia" w:ascii="宋体" w:hAnsi="宋体"/>
          <w:sz w:val="24"/>
          <w:szCs w:val="24"/>
          <w:lang w:val="zh-CN"/>
        </w:rPr>
      </w:pPr>
    </w:p>
    <w:p w14:paraId="079CB2B9">
      <w:pPr>
        <w:spacing w:before="100" w:beforeLines="0" w:after="100" w:afterLines="0"/>
        <w:jc w:val="center"/>
        <w:rPr>
          <w:rFonts w:hint="eastAsia" w:ascii="宋体" w:hAnsi="宋体"/>
          <w:sz w:val="24"/>
          <w:szCs w:val="24"/>
          <w:lang w:val="zh-CN"/>
        </w:rPr>
      </w:pPr>
    </w:p>
    <w:p w14:paraId="4D4A1E0E">
      <w:pPr>
        <w:spacing w:before="100" w:beforeLines="0" w:after="100" w:afterLines="0"/>
        <w:jc w:val="center"/>
        <w:rPr>
          <w:rFonts w:hint="eastAsia" w:ascii="宋体" w:hAnsi="宋体"/>
          <w:sz w:val="24"/>
          <w:szCs w:val="24"/>
          <w:lang w:val="zh-CN"/>
        </w:rPr>
      </w:pPr>
    </w:p>
    <w:p w14:paraId="6769A51D">
      <w:pPr>
        <w:spacing w:before="100" w:beforeLines="0" w:after="100" w:afterLines="0"/>
        <w:jc w:val="center"/>
        <w:rPr>
          <w:rFonts w:hint="eastAsia" w:ascii="宋体" w:hAnsi="宋体"/>
          <w:sz w:val="24"/>
          <w:szCs w:val="24"/>
          <w:lang w:val="zh-CN"/>
        </w:rPr>
      </w:pPr>
    </w:p>
    <w:p w14:paraId="3E99E3AD">
      <w:pPr>
        <w:spacing w:before="100" w:beforeLines="0" w:after="100" w:afterLines="0"/>
        <w:jc w:val="center"/>
        <w:rPr>
          <w:rFonts w:hint="eastAsia" w:ascii="宋体" w:hAnsi="宋体"/>
          <w:sz w:val="24"/>
          <w:szCs w:val="24"/>
          <w:lang w:val="zh-CN"/>
        </w:rPr>
      </w:pPr>
    </w:p>
    <w:p w14:paraId="6C59574B">
      <w:pPr>
        <w:spacing w:before="100" w:beforeLines="0" w:after="100" w:afterLines="0"/>
        <w:jc w:val="both"/>
        <w:rPr>
          <w:rFonts w:hint="eastAsia" w:ascii="宋体" w:hAnsi="宋体"/>
          <w:sz w:val="24"/>
          <w:szCs w:val="24"/>
          <w:lang w:val="zh-CN"/>
        </w:rPr>
      </w:pPr>
    </w:p>
    <w:p w14:paraId="713D1719">
      <w:pPr>
        <w:spacing w:before="100" w:beforeLines="0" w:after="100" w:afterLines="0"/>
        <w:jc w:val="center"/>
        <w:rPr>
          <w:rFonts w:hint="eastAsia" w:ascii="宋体" w:hAnsi="宋体"/>
          <w:sz w:val="24"/>
          <w:szCs w:val="24"/>
          <w:lang w:val="zh-CN"/>
        </w:rPr>
      </w:pPr>
    </w:p>
    <w:p w14:paraId="66826F8A">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1064F54D">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16142A0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69BF12C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15B54BE2">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61769E4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2643B18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79B989C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3BF247D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1B6C75E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121DC8A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4F89910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3073F6F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529A3E0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49E54C1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67C9D42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79BA8E4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410733C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50539E3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160074E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381AAA2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3B194CC6">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66345FE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0BE84AC9">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402E894C">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169190A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1E08D82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636B129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7F2D1A1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225163E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4C6CB6A5">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7396E25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67BCCF01">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（1）负责组织、协调、指导、监督县政府所属部门、单位的政务公开和政务服务工作；</w:t>
      </w:r>
    </w:p>
    <w:p w14:paraId="2617B7A0">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（2）制定有关政务服务、政务公开的规章制度、管理办法并组织实施；</w:t>
      </w:r>
    </w:p>
    <w:p w14:paraId="61501FA6">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（3）承担入住政务服务中心窗口单位工作人员培训、考核和日常管理；</w:t>
      </w:r>
    </w:p>
    <w:p w14:paraId="77813379">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（4）负责各部门入驻政务中心的协调审核及入驻部门服务项目的确定、调整、变更审核，协调督查审批项目的办理情况；</w:t>
      </w:r>
    </w:p>
    <w:p w14:paraId="7E005AD1">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（5）负责涉及两个以上部门行政审批联合项目审批的组织协调；</w:t>
      </w:r>
    </w:p>
    <w:p w14:paraId="1E62BA4C">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（6）负责全县监察、法制部门驻设政务服务中心机构处理有关违法、违纪和复议咨询行为；</w:t>
      </w:r>
    </w:p>
    <w:p w14:paraId="4979786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（7）承担政务公开和政务服务专题调研，并提出对策意见；</w:t>
      </w:r>
    </w:p>
    <w:p w14:paraId="6F875D50">
      <w:pPr>
        <w:spacing w:before="100" w:beforeLines="0" w:after="100" w:afterLines="0"/>
        <w:jc w:val="left"/>
        <w:rPr>
          <w:rFonts w:hint="eastAsia" w:ascii="宋体" w:hAnsi="宋体"/>
          <w:sz w:val="24"/>
          <w:szCs w:val="24"/>
          <w:lang w:val="zh-CN"/>
        </w:rPr>
      </w:pPr>
      <w:r>
        <w:rPr>
          <w:rFonts w:hint="eastAsia" w:ascii="宋体" w:hAnsi="宋体"/>
          <w:sz w:val="24"/>
          <w:szCs w:val="24"/>
          <w:lang w:val="en-US" w:eastAsia="zh-CN"/>
        </w:rPr>
        <w:t>（8）完成县委、县政府交办的其他事项。</w:t>
      </w:r>
    </w:p>
    <w:p w14:paraId="041BA2C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0340129C">
      <w:pPr>
        <w:spacing w:before="100" w:beforeLines="0" w:after="100" w:afterLines="0"/>
        <w:jc w:val="left"/>
        <w:rPr>
          <w:rFonts w:hint="eastAsia" w:ascii="宋体" w:hAnsi="宋体"/>
          <w:sz w:val="24"/>
          <w:szCs w:val="24"/>
          <w:lang w:val="zh-CN" w:eastAsia="zh-CN"/>
        </w:rPr>
      </w:pPr>
      <w:r>
        <w:rPr>
          <w:rFonts w:hint="eastAsia" w:ascii="宋体" w:hAnsi="宋体"/>
          <w:sz w:val="24"/>
          <w:szCs w:val="24"/>
          <w:lang w:val="zh-CN" w:eastAsia="zh-CN"/>
        </w:rPr>
        <w:t>（1）机关内设机构</w:t>
      </w:r>
    </w:p>
    <w:p w14:paraId="7C22F334">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en-US" w:eastAsia="zh-CN"/>
        </w:rPr>
        <w:t>华池县人民政府政务服务中心，隶属华池县人民政务办公室（华池县人民政府法制办公室）管理。无内设机构，主任、副主任各1名，业务人员3名。</w:t>
      </w:r>
    </w:p>
    <w:p w14:paraId="4C42C263">
      <w:pPr>
        <w:spacing w:before="100" w:beforeLines="0" w:after="100" w:afterLines="0"/>
        <w:jc w:val="left"/>
        <w:rPr>
          <w:rFonts w:hint="default" w:ascii="宋体" w:hAnsi="宋体"/>
          <w:sz w:val="24"/>
          <w:szCs w:val="24"/>
          <w:lang w:val="zh-CN" w:eastAsia="zh-CN"/>
        </w:rPr>
      </w:pPr>
      <w:r>
        <w:rPr>
          <w:rFonts w:hint="eastAsia" w:ascii="宋体" w:hAnsi="宋体"/>
          <w:sz w:val="24"/>
          <w:szCs w:val="24"/>
          <w:lang w:val="zh-CN" w:eastAsia="zh-CN"/>
        </w:rPr>
        <w:t>（</w:t>
      </w:r>
      <w:r>
        <w:rPr>
          <w:rFonts w:hint="eastAsia" w:ascii="宋体" w:hAnsi="宋体"/>
          <w:sz w:val="24"/>
          <w:szCs w:val="24"/>
          <w:lang w:val="en-US" w:eastAsia="zh-CN"/>
        </w:rPr>
        <w:t>2</w:t>
      </w:r>
      <w:r>
        <w:rPr>
          <w:rFonts w:hint="eastAsia" w:ascii="宋体" w:hAnsi="宋体"/>
          <w:sz w:val="24"/>
          <w:szCs w:val="24"/>
          <w:lang w:val="zh-CN" w:eastAsia="zh-CN"/>
        </w:rPr>
        <w:t>）人员情况</w:t>
      </w:r>
    </w:p>
    <w:p w14:paraId="5D2DD961">
      <w:pPr>
        <w:spacing w:before="100" w:beforeLines="0" w:after="100" w:afterLines="0"/>
        <w:jc w:val="left"/>
        <w:rPr>
          <w:rFonts w:hint="default" w:ascii="宋体" w:hAnsi="宋体"/>
          <w:sz w:val="24"/>
          <w:szCs w:val="24"/>
          <w:lang w:val="zh-CN" w:eastAsia="zh-CN"/>
        </w:rPr>
      </w:pPr>
      <w:r>
        <w:rPr>
          <w:rFonts w:hint="eastAsia" w:ascii="宋体" w:hAnsi="宋体"/>
          <w:sz w:val="24"/>
          <w:szCs w:val="24"/>
          <w:lang w:val="zh-CN" w:eastAsia="zh-CN"/>
        </w:rPr>
        <w:t>20</w:t>
      </w:r>
      <w:r>
        <w:rPr>
          <w:rFonts w:hint="eastAsia" w:ascii="宋体" w:hAnsi="宋体"/>
          <w:sz w:val="24"/>
          <w:szCs w:val="24"/>
          <w:lang w:val="en-US" w:eastAsia="zh-CN"/>
        </w:rPr>
        <w:t>23</w:t>
      </w:r>
      <w:r>
        <w:rPr>
          <w:rFonts w:hint="default" w:ascii="宋体" w:hAnsi="宋体"/>
          <w:sz w:val="24"/>
          <w:szCs w:val="24"/>
          <w:lang w:val="zh-CN" w:eastAsia="zh-CN"/>
        </w:rPr>
        <w:t>年度，我</w:t>
      </w:r>
      <w:r>
        <w:rPr>
          <w:rFonts w:hint="eastAsia" w:ascii="宋体" w:hAnsi="宋体"/>
          <w:sz w:val="24"/>
          <w:szCs w:val="24"/>
          <w:lang w:val="zh-CN" w:eastAsia="zh-CN"/>
        </w:rPr>
        <w:t>单位</w:t>
      </w:r>
      <w:r>
        <w:rPr>
          <w:rFonts w:hint="default" w:ascii="宋体" w:hAnsi="宋体"/>
          <w:sz w:val="24"/>
          <w:szCs w:val="24"/>
          <w:lang w:val="zh-CN" w:eastAsia="zh-CN"/>
        </w:rPr>
        <w:t>共有</w:t>
      </w:r>
      <w:r>
        <w:rPr>
          <w:rFonts w:hint="eastAsia" w:ascii="宋体" w:hAnsi="宋体"/>
          <w:sz w:val="24"/>
          <w:szCs w:val="24"/>
          <w:lang w:val="zh-CN" w:eastAsia="zh-CN"/>
        </w:rPr>
        <w:t>编制</w:t>
      </w:r>
      <w:r>
        <w:rPr>
          <w:rFonts w:hint="eastAsia" w:ascii="宋体" w:hAnsi="宋体"/>
          <w:sz w:val="24"/>
          <w:szCs w:val="24"/>
          <w:lang w:val="en-US" w:eastAsia="zh-CN"/>
        </w:rPr>
        <w:t>5名，其中：</w:t>
      </w:r>
      <w:r>
        <w:rPr>
          <w:rFonts w:hint="default" w:ascii="宋体" w:hAnsi="宋体"/>
          <w:sz w:val="24"/>
          <w:szCs w:val="24"/>
          <w:lang w:val="zh-CN" w:eastAsia="zh-CN"/>
        </w:rPr>
        <w:t>行政编制</w:t>
      </w:r>
      <w:r>
        <w:rPr>
          <w:rFonts w:hint="eastAsia" w:ascii="宋体" w:hAnsi="宋体"/>
          <w:sz w:val="24"/>
          <w:szCs w:val="24"/>
          <w:lang w:val="en-US" w:eastAsia="zh-CN"/>
        </w:rPr>
        <w:t>0</w:t>
      </w:r>
      <w:r>
        <w:rPr>
          <w:rFonts w:hint="default" w:ascii="宋体" w:hAnsi="宋体"/>
          <w:sz w:val="24"/>
          <w:szCs w:val="24"/>
          <w:lang w:val="zh-CN" w:eastAsia="zh-CN"/>
        </w:rPr>
        <w:t>名，参公事业编制</w:t>
      </w:r>
      <w:r>
        <w:rPr>
          <w:rFonts w:hint="eastAsia" w:ascii="宋体" w:hAnsi="宋体"/>
          <w:sz w:val="24"/>
          <w:szCs w:val="24"/>
          <w:lang w:val="en-US" w:eastAsia="zh-CN"/>
        </w:rPr>
        <w:t>0</w:t>
      </w:r>
      <w:r>
        <w:rPr>
          <w:rFonts w:hint="default" w:ascii="宋体" w:hAnsi="宋体"/>
          <w:sz w:val="24"/>
          <w:szCs w:val="24"/>
          <w:lang w:val="zh-CN" w:eastAsia="zh-CN"/>
        </w:rPr>
        <w:t>名，事业编制</w:t>
      </w:r>
      <w:r>
        <w:rPr>
          <w:rFonts w:hint="eastAsia" w:ascii="宋体" w:hAnsi="宋体"/>
          <w:sz w:val="24"/>
          <w:szCs w:val="24"/>
          <w:lang w:val="en-US" w:eastAsia="zh-CN"/>
        </w:rPr>
        <w:t>5</w:t>
      </w:r>
      <w:r>
        <w:rPr>
          <w:rFonts w:hint="default" w:ascii="宋体" w:hAnsi="宋体"/>
          <w:sz w:val="24"/>
          <w:szCs w:val="24"/>
          <w:lang w:val="zh-CN" w:eastAsia="zh-CN"/>
        </w:rPr>
        <w:t>名，后勤编制</w:t>
      </w:r>
      <w:r>
        <w:rPr>
          <w:rFonts w:hint="eastAsia" w:ascii="宋体" w:hAnsi="宋体"/>
          <w:sz w:val="24"/>
          <w:szCs w:val="24"/>
          <w:lang w:val="en-US" w:eastAsia="zh-CN"/>
        </w:rPr>
        <w:t>0</w:t>
      </w:r>
      <w:r>
        <w:rPr>
          <w:rFonts w:hint="default" w:ascii="宋体" w:hAnsi="宋体"/>
          <w:sz w:val="24"/>
          <w:szCs w:val="24"/>
          <w:lang w:val="zh-CN" w:eastAsia="zh-CN"/>
        </w:rPr>
        <w:t>名</w:t>
      </w:r>
      <w:r>
        <w:rPr>
          <w:rFonts w:hint="eastAsia" w:ascii="宋体" w:hAnsi="宋体"/>
          <w:sz w:val="24"/>
          <w:szCs w:val="24"/>
          <w:lang w:val="zh-CN" w:eastAsia="zh-CN"/>
        </w:rPr>
        <w:t>。财政供养总人数</w:t>
      </w:r>
      <w:r>
        <w:rPr>
          <w:rFonts w:hint="eastAsia" w:ascii="宋体" w:hAnsi="宋体"/>
          <w:sz w:val="24"/>
          <w:szCs w:val="24"/>
          <w:lang w:val="en-US" w:eastAsia="zh-CN"/>
        </w:rPr>
        <w:t>7</w:t>
      </w:r>
      <w:r>
        <w:rPr>
          <w:rFonts w:hint="eastAsia" w:ascii="宋体" w:hAnsi="宋体"/>
          <w:sz w:val="24"/>
          <w:szCs w:val="24"/>
          <w:lang w:val="zh-CN" w:eastAsia="zh-CN"/>
        </w:rPr>
        <w:t>人，其中：在职人员</w:t>
      </w:r>
      <w:r>
        <w:rPr>
          <w:rFonts w:hint="eastAsia" w:ascii="宋体" w:hAnsi="宋体"/>
          <w:sz w:val="24"/>
          <w:szCs w:val="24"/>
          <w:lang w:val="en-US" w:eastAsia="zh-CN"/>
        </w:rPr>
        <w:t>6</w:t>
      </w:r>
      <w:r>
        <w:rPr>
          <w:rFonts w:hint="eastAsia" w:ascii="宋体" w:hAnsi="宋体"/>
          <w:sz w:val="24"/>
          <w:szCs w:val="24"/>
          <w:lang w:val="zh-CN" w:eastAsia="zh-CN"/>
        </w:rPr>
        <w:t>人，雇佣人员</w:t>
      </w:r>
      <w:r>
        <w:rPr>
          <w:rFonts w:hint="eastAsia" w:ascii="宋体" w:hAnsi="宋体"/>
          <w:sz w:val="24"/>
          <w:szCs w:val="24"/>
          <w:lang w:val="en-US" w:eastAsia="zh-CN"/>
        </w:rPr>
        <w:t>1人，</w:t>
      </w:r>
      <w:r>
        <w:rPr>
          <w:rFonts w:hint="eastAsia" w:ascii="宋体" w:hAnsi="宋体"/>
          <w:sz w:val="24"/>
          <w:szCs w:val="24"/>
          <w:lang w:val="zh-CN" w:eastAsia="zh-CN"/>
        </w:rPr>
        <w:t>离退休</w:t>
      </w:r>
      <w:r>
        <w:rPr>
          <w:rFonts w:hint="eastAsia" w:ascii="宋体" w:hAnsi="宋体"/>
          <w:sz w:val="24"/>
          <w:szCs w:val="24"/>
          <w:lang w:val="en-US" w:eastAsia="zh-CN"/>
        </w:rPr>
        <w:t>0</w:t>
      </w:r>
      <w:r>
        <w:rPr>
          <w:rFonts w:hint="eastAsia" w:ascii="宋体" w:hAnsi="宋体"/>
          <w:sz w:val="24"/>
          <w:szCs w:val="24"/>
          <w:lang w:val="zh-CN" w:eastAsia="zh-CN"/>
        </w:rPr>
        <w:t>人，遗属</w:t>
      </w:r>
      <w:r>
        <w:rPr>
          <w:rFonts w:hint="eastAsia" w:ascii="宋体" w:hAnsi="宋体"/>
          <w:sz w:val="24"/>
          <w:szCs w:val="24"/>
          <w:lang w:val="en-US" w:eastAsia="zh-CN"/>
        </w:rPr>
        <w:t>0</w:t>
      </w:r>
      <w:r>
        <w:rPr>
          <w:rFonts w:hint="eastAsia" w:ascii="宋体" w:hAnsi="宋体"/>
          <w:sz w:val="24"/>
          <w:szCs w:val="24"/>
          <w:lang w:val="zh-CN" w:eastAsia="zh-CN"/>
        </w:rPr>
        <w:t>人。</w:t>
      </w:r>
    </w:p>
    <w:p w14:paraId="0030B0F2">
      <w:pPr>
        <w:spacing w:before="100" w:beforeLines="0" w:after="100" w:afterLines="0"/>
        <w:jc w:val="left"/>
        <w:rPr>
          <w:rFonts w:hint="eastAsia" w:ascii="宋体" w:hAnsi="宋体"/>
          <w:sz w:val="24"/>
          <w:szCs w:val="24"/>
          <w:lang w:val="en-US" w:eastAsia="zh-CN"/>
        </w:rPr>
      </w:pPr>
    </w:p>
    <w:p w14:paraId="2B44B83B">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1C8380A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一、收入支出决算总表(见附件)</w:t>
      </w:r>
    </w:p>
    <w:p w14:paraId="6171574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二、收入决算表(见附件)</w:t>
      </w:r>
    </w:p>
    <w:p w14:paraId="6D3084D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三、支出决算表(见附件)</w:t>
      </w:r>
    </w:p>
    <w:p w14:paraId="45035B7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四、财政拨款收入支出决算总表(见附件)</w:t>
      </w:r>
    </w:p>
    <w:p w14:paraId="1149A8F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五、一般公共预算财政拨款支出决算表(见附件)</w:t>
      </w:r>
    </w:p>
    <w:p w14:paraId="633EA9D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六、一般公共预算财政拨款基本支出决算明细表(见附件)</w:t>
      </w:r>
    </w:p>
    <w:p w14:paraId="02E3192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七、政府性基金预算财政拨款收入支出决算表(见附件)</w:t>
      </w:r>
    </w:p>
    <w:p w14:paraId="0E43E83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八、国有资本经营预算财政拨款支出决算表(见附件)</w:t>
      </w:r>
    </w:p>
    <w:p w14:paraId="3C4C028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经费支出决算表(见附件)</w:t>
      </w:r>
    </w:p>
    <w:p w14:paraId="2EB3D05C">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531CB46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47B9D54E">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121.45万元。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减少7.74万元,下降5.99%,主要原因是</w:t>
      </w:r>
      <w:r>
        <w:rPr>
          <w:rFonts w:hint="eastAsia" w:ascii="宋体" w:hAnsi="宋体"/>
          <w:color w:val="auto"/>
          <w:sz w:val="24"/>
          <w:szCs w:val="24"/>
          <w:lang w:val="zh-CN" w:eastAsia="zh-CN"/>
        </w:rPr>
        <w:t>一般公共</w:t>
      </w:r>
      <w:r>
        <w:rPr>
          <w:rFonts w:hint="eastAsia" w:ascii="宋体" w:hAnsi="宋体"/>
          <w:color w:val="auto"/>
          <w:sz w:val="24"/>
          <w:szCs w:val="24"/>
          <w:lang w:val="en-US" w:eastAsia="zh-CN"/>
        </w:rPr>
        <w:t>预算收入减少。</w:t>
      </w:r>
    </w:p>
    <w:p w14:paraId="14634E03">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76946E2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2023年度收入合计121.45万元,其中：财政拨款收入121.45万元,占100.00%。</w:t>
      </w:r>
    </w:p>
    <w:p w14:paraId="5EC04AAA">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2251246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2023年度支出合计121.45万元,其中：基本支出121.45万元,占100.00%。</w:t>
      </w:r>
    </w:p>
    <w:p w14:paraId="44447FD5">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5A52E5B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121.45万元。与</w:t>
      </w:r>
      <w:r>
        <w:rPr>
          <w:rFonts w:hint="eastAsia" w:ascii="宋体" w:hAnsi="宋体"/>
          <w:color w:val="auto"/>
          <w:sz w:val="24"/>
          <w:szCs w:val="24"/>
          <w:lang w:val="en-US"/>
        </w:rPr>
        <w:t>上</w:t>
      </w:r>
      <w:r>
        <w:rPr>
          <w:rFonts w:hint="eastAsia" w:ascii="宋体" w:hAnsi="宋体"/>
          <w:color w:val="auto"/>
          <w:sz w:val="24"/>
          <w:szCs w:val="24"/>
          <w:lang w:val="zh-CN"/>
        </w:rPr>
        <w:t>年相比,各减少7.74万元,下降5.99%。主要原因是</w:t>
      </w:r>
      <w:r>
        <w:rPr>
          <w:rFonts w:hint="eastAsia" w:ascii="宋体" w:hAnsi="宋体"/>
          <w:color w:val="auto"/>
          <w:sz w:val="24"/>
          <w:szCs w:val="24"/>
          <w:lang w:val="zh-CN" w:eastAsia="zh-CN"/>
        </w:rPr>
        <w:t>一般公共</w:t>
      </w:r>
      <w:r>
        <w:rPr>
          <w:rFonts w:hint="eastAsia" w:ascii="宋体" w:hAnsi="宋体"/>
          <w:color w:val="auto"/>
          <w:sz w:val="24"/>
          <w:szCs w:val="24"/>
          <w:lang w:val="en-US" w:eastAsia="zh-CN"/>
        </w:rPr>
        <w:t>预算收入减少。</w:t>
      </w:r>
    </w:p>
    <w:p w14:paraId="26DFF3F9">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58B41B8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w:t>
      </w:r>
      <w:r>
        <w:rPr>
          <w:rFonts w:hint="eastAsia" w:ascii="宋体" w:hAnsi="宋体"/>
          <w:color w:val="auto"/>
          <w:sz w:val="24"/>
          <w:szCs w:val="24"/>
          <w:lang w:val="en-US" w:eastAsia="zh-CN"/>
        </w:rPr>
        <w:t>一</w:t>
      </w:r>
      <w:r>
        <w:rPr>
          <w:rFonts w:hint="eastAsia" w:ascii="宋体" w:hAnsi="宋体"/>
          <w:color w:val="auto"/>
          <w:sz w:val="24"/>
          <w:szCs w:val="24"/>
          <w:lang w:val="zh-CN"/>
        </w:rPr>
        <w:t>）一般公共预算财政拨款支出决算总体情况</w:t>
      </w:r>
    </w:p>
    <w:p w14:paraId="33943655">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2023年度一般公共预算财政拨款支出121.45万元,较上年决算数减少0.65万元,下降0.53%。主要原因是</w:t>
      </w:r>
      <w:r>
        <w:rPr>
          <w:rFonts w:hint="eastAsia" w:ascii="宋体" w:hAnsi="宋体"/>
          <w:color w:val="auto"/>
          <w:sz w:val="24"/>
          <w:szCs w:val="24"/>
          <w:lang w:val="zh-CN" w:eastAsia="zh-CN"/>
        </w:rPr>
        <w:t>一般公共</w:t>
      </w:r>
      <w:r>
        <w:rPr>
          <w:rFonts w:hint="eastAsia" w:ascii="宋体" w:hAnsi="宋体"/>
          <w:color w:val="auto"/>
          <w:sz w:val="24"/>
          <w:szCs w:val="24"/>
          <w:lang w:val="en-US" w:eastAsia="zh-CN"/>
        </w:rPr>
        <w:t>预算收入减少。</w:t>
      </w:r>
    </w:p>
    <w:p w14:paraId="0D28D2A6">
      <w:pPr>
        <w:spacing w:before="100" w:beforeLines="0" w:after="100" w:afterLines="0"/>
        <w:ind w:firstLine="480" w:firstLineChars="20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en-US" w:eastAsia="zh-CN"/>
        </w:rPr>
        <w:t>（二）</w:t>
      </w: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74BBA362">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121.45万元，主要用于以下方面：一般公共服务支出107.83万元,占88.79%；社会保障和就业支出9.62万元,占7.92%；卫生健康支出4.00万元,占3.29%。</w:t>
      </w:r>
    </w:p>
    <w:p w14:paraId="7EE332B4">
      <w:pPr>
        <w:numPr>
          <w:ilvl w:val="0"/>
          <w:numId w:val="0"/>
        </w:numPr>
        <w:spacing w:before="100" w:beforeLines="0" w:after="100" w:afterLines="0"/>
        <w:ind w:firstLine="480" w:firstLineChars="20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zh-CN"/>
        </w:rPr>
        <w:t>（</w:t>
      </w:r>
      <w:r>
        <w:rPr>
          <w:rFonts w:hint="eastAsia" w:ascii="宋体" w:hAnsi="宋体"/>
          <w:color w:val="auto"/>
          <w:sz w:val="24"/>
          <w:szCs w:val="24"/>
          <w:lang w:val="en-US" w:eastAsia="zh-CN"/>
        </w:rPr>
        <w:t>三</w:t>
      </w:r>
      <w:r>
        <w:rPr>
          <w:rFonts w:hint="eastAsia" w:ascii="宋体" w:hAnsi="宋体"/>
          <w:color w:val="auto"/>
          <w:sz w:val="24"/>
          <w:szCs w:val="24"/>
          <w:lang w:val="zh-CN"/>
        </w:rPr>
        <w:t>）</w:t>
      </w: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6FB0AD32">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133.02万元,支出决算为121.45万元,完成年初预算的91.3%。其中：</w:t>
      </w:r>
    </w:p>
    <w:p w14:paraId="135BA8DD">
      <w:pPr>
        <w:numPr>
          <w:ilvl w:val="0"/>
          <w:numId w:val="0"/>
        </w:numPr>
        <w:spacing w:before="100" w:beforeLines="0" w:after="100" w:afterLines="0"/>
        <w:ind w:firstLine="482" w:firstLineChars="200"/>
        <w:jc w:val="left"/>
        <w:rPr>
          <w:rFonts w:hint="eastAsia" w:ascii="宋体" w:hAnsi="宋体"/>
          <w:b/>
          <w:bCs/>
          <w:color w:val="auto"/>
          <w:sz w:val="24"/>
          <w:szCs w:val="24"/>
          <w:lang w:val="en-US" w:eastAsia="zh-CN"/>
        </w:rPr>
      </w:pPr>
      <w:r>
        <w:rPr>
          <w:rFonts w:hint="eastAsia" w:ascii="宋体" w:hAnsi="宋体"/>
          <w:b/>
          <w:color w:val="auto"/>
          <w:sz w:val="24"/>
          <w:szCs w:val="24"/>
          <w:lang w:val="en-US" w:eastAsia="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年初预算数为119.59万元,支出决算为107.83万元,完成年初预算的90.17%,决算数小于预算数的</w:t>
      </w:r>
      <w:r>
        <w:rPr>
          <w:rFonts w:hint="eastAsia" w:ascii="宋体" w:hAnsi="宋体"/>
          <w:color w:val="auto"/>
          <w:sz w:val="24"/>
          <w:szCs w:val="24"/>
          <w:lang w:val="zh-CN" w:eastAsia="zh-CN"/>
        </w:rPr>
        <w:t>一般公共</w:t>
      </w:r>
      <w:r>
        <w:rPr>
          <w:rFonts w:hint="eastAsia" w:ascii="宋体" w:hAnsi="宋体"/>
          <w:color w:val="auto"/>
          <w:sz w:val="24"/>
          <w:szCs w:val="24"/>
          <w:lang w:val="en-US" w:eastAsia="zh-CN"/>
        </w:rPr>
        <w:t>预算收入减少。</w:t>
      </w:r>
    </w:p>
    <w:p w14:paraId="2667EA3B">
      <w:pPr>
        <w:spacing w:before="100" w:beforeLines="0" w:after="100" w:afterLines="0"/>
        <w:jc w:val="left"/>
        <w:rPr>
          <w:rFonts w:hint="eastAsia" w:ascii="宋体" w:hAnsi="宋体"/>
          <w:color w:val="FF0000"/>
          <w:sz w:val="24"/>
          <w:szCs w:val="24"/>
          <w:lang w:val="zh-CN"/>
        </w:rPr>
      </w:pPr>
      <w:r>
        <w:rPr>
          <w:rFonts w:hint="eastAsia" w:ascii="Times New Roman" w:hAnsi="Times New Roman"/>
          <w:b/>
          <w:color w:val="auto"/>
          <w:sz w:val="24"/>
          <w:szCs w:val="24"/>
          <w:lang w:val="en-US" w:eastAsia="zh-CN"/>
        </w:rPr>
        <w:t xml:space="preserve">    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年初预算数为10.02万元,支出决算为9.62万元,完成年初预算的95.98%,决算数小于预算数的主要原因是</w:t>
      </w:r>
      <w:r>
        <w:rPr>
          <w:rFonts w:hint="eastAsia" w:ascii="宋体" w:hAnsi="宋体"/>
          <w:color w:val="auto"/>
          <w:sz w:val="24"/>
          <w:szCs w:val="24"/>
          <w:lang w:val="en-US" w:eastAsia="zh-CN"/>
        </w:rPr>
        <w:t>年初预算时把不在编人员养老保险也预算在内</w:t>
      </w:r>
      <w:r>
        <w:rPr>
          <w:rFonts w:hint="eastAsia" w:ascii="宋体" w:hAnsi="宋体"/>
          <w:color w:val="auto"/>
          <w:sz w:val="24"/>
          <w:szCs w:val="24"/>
          <w:lang w:val="zh-CN"/>
        </w:rPr>
        <w:t>。</w:t>
      </w:r>
    </w:p>
    <w:p w14:paraId="0B11E68C">
      <w:pPr>
        <w:spacing w:before="100" w:beforeLines="0" w:after="100" w:afterLines="0"/>
        <w:ind w:firstLine="482" w:firstLineChars="200"/>
        <w:jc w:val="left"/>
        <w:rPr>
          <w:rFonts w:hint="eastAsia" w:ascii="宋体" w:hAnsi="宋体"/>
          <w:color w:val="FF0000"/>
          <w:sz w:val="24"/>
          <w:szCs w:val="24"/>
          <w:lang w:val="en-US" w:eastAsia="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年初预算数为3.41万元,支出决算为4.00万元,完成年初预算的117.37%,决算数大于预算数的主要原因是</w:t>
      </w:r>
      <w:r>
        <w:rPr>
          <w:rFonts w:hint="eastAsia" w:ascii="宋体" w:hAnsi="宋体"/>
          <w:color w:val="auto"/>
          <w:sz w:val="24"/>
          <w:szCs w:val="24"/>
          <w:lang w:val="en-US" w:eastAsia="zh-CN"/>
        </w:rPr>
        <w:t>支出了上年结转的医疗保险，导致决算数增大。</w:t>
      </w:r>
    </w:p>
    <w:p w14:paraId="19F31318">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1B54233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2023年度一般公共预算财政拨款基本支出121.45万元。其中：</w:t>
      </w:r>
    </w:p>
    <w:p w14:paraId="0DEC53E5">
      <w:pPr>
        <w:spacing w:before="100" w:beforeLines="0" w:after="100" w:afterLines="0"/>
        <w:ind w:firstLine="482" w:firstLineChars="200"/>
        <w:jc w:val="left"/>
        <w:rPr>
          <w:rFonts w:hint="eastAsia" w:ascii="宋体" w:hAnsi="宋体"/>
          <w:color w:val="FF0000"/>
          <w:sz w:val="24"/>
          <w:szCs w:val="24"/>
          <w:lang w:val="en-US" w:eastAsia="zh-CN"/>
        </w:rPr>
      </w:pPr>
      <w:r>
        <w:rPr>
          <w:rFonts w:hint="eastAsia" w:ascii="宋体" w:hAnsi="宋体"/>
          <w:b/>
          <w:color w:val="auto"/>
          <w:sz w:val="24"/>
          <w:szCs w:val="24"/>
          <w:lang w:val="zh-CN"/>
        </w:rPr>
        <w:t>人员经费</w:t>
      </w:r>
      <w:r>
        <w:rPr>
          <w:rFonts w:hint="eastAsia" w:ascii="宋体" w:hAnsi="宋体"/>
          <w:color w:val="auto"/>
          <w:sz w:val="24"/>
          <w:szCs w:val="24"/>
          <w:lang w:val="zh-CN"/>
        </w:rPr>
        <w:t>83.96万元,较上年决算数增加23.09万元,增长37.93%,主要原因</w:t>
      </w:r>
      <w:r>
        <w:rPr>
          <w:rFonts w:hint="eastAsia" w:ascii="宋体" w:hAnsi="宋体"/>
          <w:color w:val="auto"/>
          <w:sz w:val="24"/>
          <w:szCs w:val="24"/>
          <w:lang w:val="en-US" w:eastAsia="zh-CN"/>
        </w:rPr>
        <w:t>人员调入，人员工资增加</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对个人和家庭的补助。</w:t>
      </w:r>
    </w:p>
    <w:p w14:paraId="2892BD6F">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37.49万元,较上年决算数减少23.74万元,下降38.77%,主要原因是</w:t>
      </w:r>
      <w:r>
        <w:rPr>
          <w:rFonts w:hint="eastAsia" w:ascii="宋体" w:hAnsi="宋体"/>
          <w:color w:val="auto"/>
          <w:sz w:val="24"/>
          <w:szCs w:val="24"/>
          <w:lang w:val="en-US" w:eastAsia="zh-CN"/>
        </w:rPr>
        <w:t>严格控制支出，办公费支出减少</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水费、电费、邮电费、取暖费、物业管理费、差旅费、维修费、劳务费、工会经费、其他交通费</w:t>
      </w:r>
      <w:r>
        <w:rPr>
          <w:rFonts w:hint="eastAsia" w:ascii="宋体" w:hAnsi="宋体"/>
          <w:color w:val="auto"/>
          <w:sz w:val="24"/>
          <w:szCs w:val="24"/>
          <w:lang w:val="zh-CN"/>
        </w:rPr>
        <w:t>。</w:t>
      </w:r>
    </w:p>
    <w:p w14:paraId="422E03A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3DEAF749">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本部门2023年度无政府性基金收入,也没有使用政府性基金安排的支出。</w:t>
      </w:r>
    </w:p>
    <w:p w14:paraId="0BFD497B">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6B1B4E2B">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auto"/>
          <w:sz w:val="24"/>
          <w:szCs w:val="24"/>
          <w:lang w:val="zh-CN"/>
        </w:rPr>
        <w:t>本部门2023年度没有使用国有资本经营预算安排的支出。</w:t>
      </w:r>
    </w:p>
    <w:p w14:paraId="6D0529A5">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FD99BF4">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47621FB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预算数为0.27万元,支出决算为0.14万元,决算数小于预算数的主要原因是</w:t>
      </w:r>
      <w:r>
        <w:rPr>
          <w:rFonts w:hint="eastAsia" w:ascii="宋体" w:hAnsi="宋体"/>
          <w:color w:val="auto"/>
          <w:sz w:val="24"/>
          <w:szCs w:val="24"/>
          <w:lang w:val="en-US" w:eastAsia="zh-CN"/>
        </w:rPr>
        <w:t>严格控制开支，减少支出。</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增加0.14</w:t>
      </w:r>
      <w:r>
        <w:rPr>
          <w:rFonts w:hint="eastAsia" w:ascii="宋体" w:hAnsi="宋体"/>
          <w:color w:val="auto"/>
          <w:sz w:val="24"/>
          <w:szCs w:val="24"/>
          <w:lang w:val="zh-CN"/>
        </w:rPr>
        <w:t>万元</w:t>
      </w:r>
      <w:r>
        <w:rPr>
          <w:rFonts w:hint="eastAsia" w:ascii="宋体" w:hAnsi="宋体"/>
          <w:color w:val="auto"/>
          <w:sz w:val="24"/>
          <w:szCs w:val="24"/>
          <w:lang w:val="en-US"/>
        </w:rPr>
        <w:t>,主要原因是</w:t>
      </w:r>
      <w:r>
        <w:rPr>
          <w:rFonts w:hint="eastAsia" w:ascii="宋体" w:hAnsi="宋体"/>
          <w:color w:val="auto"/>
          <w:sz w:val="24"/>
          <w:szCs w:val="24"/>
          <w:lang w:val="en-US" w:eastAsia="zh-CN"/>
        </w:rPr>
        <w:t>上年无支出</w:t>
      </w:r>
      <w:r>
        <w:rPr>
          <w:rFonts w:hint="eastAsia" w:ascii="宋体" w:hAnsi="宋体"/>
          <w:color w:val="auto"/>
          <w:sz w:val="24"/>
          <w:szCs w:val="24"/>
          <w:lang w:val="zh-CN"/>
        </w:rPr>
        <w:t>。</w:t>
      </w:r>
    </w:p>
    <w:p w14:paraId="2DDE6BEE">
      <w:pPr>
        <w:numPr>
          <w:numId w:val="0"/>
        </w:numPr>
        <w:spacing w:before="100" w:beforeLines="0" w:after="100" w:afterLines="0"/>
        <w:ind w:firstLine="482" w:firstLineChars="200"/>
        <w:jc w:val="left"/>
        <w:rPr>
          <w:rFonts w:hint="eastAsia" w:ascii="宋体" w:hAnsi="宋体"/>
          <w:b/>
          <w:color w:val="auto"/>
          <w:sz w:val="24"/>
          <w:szCs w:val="24"/>
          <w:lang w:val="zh-CN"/>
        </w:rPr>
      </w:pPr>
      <w:r>
        <w:rPr>
          <w:rFonts w:hint="eastAsia" w:ascii="Times New Roman" w:hAnsi="Times New Roman" w:eastAsia="宋体"/>
          <w:b/>
          <w:color w:val="auto"/>
          <w:sz w:val="24"/>
          <w:szCs w:val="24"/>
          <w:lang w:val="en-US" w:eastAsia="zh-CN"/>
        </w:rPr>
        <w:t xml:space="preserve">（二） </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7065BBE8">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p>
    <w:p w14:paraId="5ED10C45">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p>
    <w:p w14:paraId="75D02B31">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p>
    <w:p w14:paraId="5D3A0D92">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p>
    <w:p w14:paraId="19D83E3C">
      <w:pPr>
        <w:numPr>
          <w:ilvl w:val="0"/>
          <w:numId w:val="1"/>
        </w:numPr>
        <w:spacing w:before="100" w:beforeLines="0" w:after="100" w:afterLines="0"/>
        <w:ind w:firstLine="482" w:firstLineChars="200"/>
        <w:jc w:val="left"/>
        <w:rPr>
          <w:rFonts w:hint="eastAsia" w:ascii="宋体" w:hAnsi="宋体"/>
          <w:b/>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年预算数为0.27万元,支出决算为0.14万元,决算数小于预算数的主要原因是</w:t>
      </w:r>
      <w:r>
        <w:rPr>
          <w:rFonts w:hint="eastAsia" w:ascii="宋体" w:hAnsi="宋体"/>
          <w:color w:val="auto"/>
          <w:sz w:val="24"/>
          <w:szCs w:val="24"/>
          <w:lang w:val="en-US" w:eastAsia="zh-CN"/>
        </w:rPr>
        <w:t>严格控制开支，减少支出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增加0.14</w:t>
      </w:r>
      <w:r>
        <w:rPr>
          <w:rFonts w:hint="eastAsia" w:ascii="宋体" w:hAnsi="宋体"/>
          <w:color w:val="auto"/>
          <w:sz w:val="24"/>
          <w:szCs w:val="24"/>
          <w:lang w:val="zh-CN"/>
        </w:rPr>
        <w:t>万元</w:t>
      </w:r>
      <w:r>
        <w:rPr>
          <w:rFonts w:hint="eastAsia" w:ascii="宋体" w:hAnsi="宋体"/>
          <w:color w:val="auto"/>
          <w:sz w:val="24"/>
          <w:szCs w:val="24"/>
          <w:lang w:val="en-US"/>
        </w:rPr>
        <w:t>,主要原因是</w:t>
      </w:r>
      <w:r>
        <w:rPr>
          <w:rFonts w:hint="eastAsia" w:ascii="宋体" w:hAnsi="宋体"/>
          <w:color w:val="auto"/>
          <w:sz w:val="24"/>
          <w:szCs w:val="24"/>
          <w:lang w:val="en-US" w:eastAsia="zh-CN"/>
        </w:rPr>
        <w:t>上年无支出</w:t>
      </w:r>
      <w:r>
        <w:rPr>
          <w:rFonts w:hint="eastAsia" w:ascii="宋体" w:hAnsi="宋体"/>
          <w:color w:val="auto"/>
          <w:sz w:val="24"/>
          <w:szCs w:val="24"/>
          <w:lang w:val="zh-CN"/>
        </w:rPr>
        <w:t>。外事接待费支出0.00万元。主要是</w:t>
      </w:r>
      <w:r>
        <w:rPr>
          <w:rFonts w:hint="eastAsia" w:ascii="宋体" w:hAnsi="宋体"/>
          <w:color w:val="auto"/>
          <w:sz w:val="24"/>
          <w:szCs w:val="24"/>
          <w:lang w:val="en-US" w:eastAsia="zh-CN"/>
        </w:rPr>
        <w:t>本年无支出</w:t>
      </w:r>
      <w:r>
        <w:rPr>
          <w:rFonts w:hint="eastAsia" w:ascii="宋体" w:hAnsi="宋体"/>
          <w:color w:val="auto"/>
          <w:sz w:val="24"/>
          <w:szCs w:val="24"/>
          <w:lang w:val="zh-CN"/>
        </w:rPr>
        <w:t>。</w:t>
      </w: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0.14万元。主要是</w:t>
      </w:r>
      <w:r>
        <w:rPr>
          <w:rFonts w:hint="eastAsia" w:ascii="宋体" w:hAnsi="宋体"/>
          <w:color w:val="auto"/>
          <w:sz w:val="24"/>
          <w:szCs w:val="24"/>
          <w:lang w:val="en-US" w:eastAsia="zh-CN"/>
        </w:rPr>
        <w:t>接待市级督查工作组</w:t>
      </w:r>
      <w:r>
        <w:rPr>
          <w:rFonts w:hint="eastAsia" w:ascii="宋体" w:hAnsi="宋体"/>
          <w:color w:val="FF0000"/>
          <w:sz w:val="24"/>
          <w:szCs w:val="24"/>
          <w:lang w:val="zh-CN"/>
        </w:rPr>
        <w:t>。</w:t>
      </w:r>
    </w:p>
    <w:p w14:paraId="0DDC6B4F">
      <w:pPr>
        <w:numPr>
          <w:numId w:val="0"/>
        </w:numPr>
        <w:spacing w:before="100" w:beforeLines="0" w:after="100" w:afterLines="0"/>
        <w:ind w:firstLine="480" w:firstLineChars="200"/>
        <w:jc w:val="left"/>
        <w:rPr>
          <w:rFonts w:hint="eastAsia" w:ascii="宋体" w:hAnsi="宋体"/>
          <w:b/>
          <w:color w:val="auto"/>
          <w:sz w:val="24"/>
          <w:szCs w:val="24"/>
          <w:lang w:val="zh-CN"/>
        </w:rPr>
      </w:pPr>
      <w:r>
        <w:rPr>
          <w:rFonts w:hint="eastAsia" w:ascii="Times New Roman" w:hAnsi="Times New Roman" w:eastAsia="Times New Roman"/>
          <w:b/>
          <w:color w:val="auto"/>
          <w:sz w:val="24"/>
          <w:szCs w:val="24"/>
          <w:lang w:val="zh-CN"/>
        </w:rPr>
        <w:t>（</w:t>
      </w:r>
      <w:r>
        <w:rPr>
          <w:rFonts w:hint="eastAsia" w:ascii="Times New Roman" w:hAnsi="Times New Roman" w:eastAsia="宋体"/>
          <w:b/>
          <w:color w:val="auto"/>
          <w:sz w:val="24"/>
          <w:szCs w:val="24"/>
          <w:lang w:val="en-US" w:eastAsia="zh-CN"/>
        </w:rPr>
        <w:t>三</w:t>
      </w:r>
      <w:r>
        <w:rPr>
          <w:rFonts w:hint="eastAsia" w:ascii="Times New Roman" w:hAnsi="Times New Roman" w:eastAsia="Times New Roman"/>
          <w:b/>
          <w:color w:val="auto"/>
          <w:sz w:val="24"/>
          <w:szCs w:val="24"/>
          <w:lang w:val="zh-CN"/>
        </w:rPr>
        <w:t>）</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4E112F9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3批次29人,其中：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5A393B1B">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2CD8DE1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4388435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5AB22B3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24.34万元,其中：政府采购货物支出14.63万元、政府采购工程支出0.00万元、政府采购服务支出9.71万元。授予中小企业合同金额24.34万元,占政府采购支出总额的100.00%,其中：授予小微企业合同金额24.34万元,占政府采购支出总额的100.00%。</w:t>
      </w:r>
    </w:p>
    <w:p w14:paraId="3460B484">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09E27040">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BEDD72D">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036B7C0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791228A1">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082A2D7D">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71A7FB3C">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年度一般公共预算项目支出全面开展绩效自评,共涉及资金</w:t>
      </w:r>
      <w:r>
        <w:rPr>
          <w:rFonts w:hint="eastAsia" w:ascii="宋体" w:hAnsi="宋体" w:eastAsia="宋体" w:cs="宋体"/>
          <w:color w:val="000000"/>
          <w:kern w:val="0"/>
          <w:sz w:val="24"/>
          <w:szCs w:val="24"/>
          <w:lang w:val="en-US" w:eastAsia="zh-CN"/>
        </w:rPr>
        <w:t>121.45万元</w:t>
      </w:r>
      <w:r>
        <w:rPr>
          <w:rFonts w:hint="eastAsia" w:ascii="宋体" w:hAnsi="宋体" w:eastAsia="宋体" w:cs="宋体"/>
          <w:color w:val="000000"/>
          <w:kern w:val="0"/>
          <w:sz w:val="24"/>
          <w:szCs w:val="24"/>
          <w:lang w:val="en-US"/>
        </w:rPr>
        <w:t>,占一般公共预算项目支出总额的</w:t>
      </w:r>
      <w:r>
        <w:rPr>
          <w:rFonts w:hint="eastAsia" w:ascii="宋体" w:hAnsi="宋体" w:eastAsia="宋体" w:cs="宋体"/>
          <w:color w:val="000000"/>
          <w:kern w:val="0"/>
          <w:sz w:val="24"/>
          <w:szCs w:val="24"/>
          <w:lang w:val="en-US" w:eastAsia="zh-CN"/>
        </w:rPr>
        <w:t>100</w:t>
      </w:r>
      <w:r>
        <w:rPr>
          <w:rFonts w:hint="eastAsia" w:ascii="宋体" w:hAnsi="宋体" w:eastAsia="宋体" w:cs="宋体"/>
          <w:color w:val="000000"/>
          <w:kern w:val="0"/>
          <w:sz w:val="24"/>
          <w:szCs w:val="24"/>
          <w:lang w:val="en-US"/>
        </w:rPr>
        <w:t>%。从评价情况来看,我部门202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val="en-US"/>
        </w:rPr>
        <w:t>年资金整体支出绩效评价得分</w:t>
      </w:r>
      <w:r>
        <w:rPr>
          <w:rFonts w:hint="eastAsia" w:ascii="宋体" w:hAnsi="宋体" w:eastAsia="宋体" w:cs="宋体"/>
          <w:color w:val="000000"/>
          <w:kern w:val="0"/>
          <w:sz w:val="24"/>
          <w:szCs w:val="24"/>
          <w:lang w:val="en-US" w:eastAsia="zh-CN"/>
        </w:rPr>
        <w:t>99</w:t>
      </w:r>
      <w:r>
        <w:rPr>
          <w:rFonts w:hint="eastAsia" w:ascii="宋体" w:hAnsi="宋体" w:eastAsia="宋体" w:cs="宋体"/>
          <w:color w:val="000000"/>
          <w:kern w:val="0"/>
          <w:sz w:val="24"/>
          <w:szCs w:val="24"/>
          <w:lang w:val="en-US"/>
        </w:rPr>
        <w:t>分，评价等级为“优”。</w:t>
      </w:r>
    </w:p>
    <w:p w14:paraId="7149CDAA">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1EC93391">
      <w:pPr>
        <w:spacing w:before="100" w:beforeLines="0" w:after="100" w:afterLines="0"/>
        <w:ind w:firstLine="480" w:firstLineChars="200"/>
        <w:jc w:val="left"/>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eastAsia="宋体" w:cs="宋体"/>
          <w:color w:val="000000"/>
          <w:kern w:val="0"/>
          <w:sz w:val="24"/>
          <w:szCs w:val="24"/>
          <w:highlight w:val="none"/>
          <w:lang w:val="en-US" w:eastAsia="zh-CN"/>
        </w:rPr>
        <w:t>单位整体支出绩效自评结果</w:t>
      </w:r>
      <w:r>
        <w:rPr>
          <w:rFonts w:hint="eastAsia" w:ascii="宋体" w:hAnsi="宋体" w:eastAsia="宋体" w:cs="宋体"/>
          <w:color w:val="000000"/>
          <w:kern w:val="0"/>
          <w:sz w:val="24"/>
          <w:szCs w:val="24"/>
          <w:highlight w:val="none"/>
          <w:lang w:val="en-US"/>
        </w:rPr>
        <w:t>。</w:t>
      </w:r>
      <w:r>
        <w:rPr>
          <w:rFonts w:hint="eastAsia" w:ascii="宋体" w:hAnsi="宋体" w:eastAsia="宋体" w:cs="宋体"/>
          <w:color w:val="000000"/>
          <w:kern w:val="0"/>
          <w:sz w:val="24"/>
          <w:szCs w:val="24"/>
          <w:highlight w:val="none"/>
          <w:lang w:val="en-US" w:eastAsia="zh-CN"/>
        </w:rPr>
        <w:t>单位整体支出绩效自评情况：根据年初设定的绩效目标，单位整体支出绩效自评得分为9</w:t>
      </w:r>
      <w:r>
        <w:rPr>
          <w:rFonts w:hint="eastAsia" w:ascii="宋体" w:hAnsi="宋体" w:cs="宋体"/>
          <w:color w:val="000000"/>
          <w:kern w:val="0"/>
          <w:sz w:val="24"/>
          <w:szCs w:val="24"/>
          <w:highlight w:val="none"/>
          <w:lang w:val="en-US" w:eastAsia="zh-CN"/>
        </w:rPr>
        <w:t>9</w:t>
      </w:r>
      <w:r>
        <w:rPr>
          <w:rFonts w:hint="eastAsia" w:ascii="宋体" w:hAnsi="宋体" w:eastAsia="宋体" w:cs="宋体"/>
          <w:color w:val="000000"/>
          <w:kern w:val="0"/>
          <w:sz w:val="24"/>
          <w:szCs w:val="24"/>
          <w:highlight w:val="none"/>
          <w:lang w:val="en-US" w:eastAsia="zh-CN"/>
        </w:rPr>
        <w:t>分。单位整体支出绩效全年预算为</w:t>
      </w:r>
      <w:r>
        <w:rPr>
          <w:rFonts w:hint="eastAsia" w:ascii="宋体" w:hAnsi="宋体" w:cs="宋体"/>
          <w:color w:val="000000"/>
          <w:kern w:val="0"/>
          <w:sz w:val="24"/>
          <w:szCs w:val="24"/>
          <w:highlight w:val="none"/>
          <w:lang w:val="en-US" w:eastAsia="zh-CN"/>
        </w:rPr>
        <w:t>121.45万</w:t>
      </w:r>
      <w:r>
        <w:rPr>
          <w:rFonts w:hint="eastAsia" w:ascii="宋体" w:hAnsi="宋体" w:eastAsia="宋体" w:cs="宋体"/>
          <w:color w:val="000000"/>
          <w:kern w:val="0"/>
          <w:sz w:val="24"/>
          <w:szCs w:val="24"/>
          <w:highlight w:val="none"/>
          <w:lang w:val="en-US" w:eastAsia="zh-CN"/>
        </w:rPr>
        <w:t>元，执行数为</w:t>
      </w:r>
      <w:r>
        <w:rPr>
          <w:rFonts w:hint="eastAsia" w:ascii="宋体" w:hAnsi="宋体" w:cs="宋体"/>
          <w:color w:val="000000"/>
          <w:kern w:val="0"/>
          <w:sz w:val="24"/>
          <w:szCs w:val="24"/>
          <w:highlight w:val="none"/>
          <w:lang w:val="en-US" w:eastAsia="zh-CN"/>
        </w:rPr>
        <w:t>121.45万</w:t>
      </w:r>
      <w:r>
        <w:rPr>
          <w:rFonts w:hint="eastAsia" w:ascii="宋体" w:hAnsi="宋体" w:eastAsia="宋体" w:cs="宋体"/>
          <w:color w:val="000000"/>
          <w:kern w:val="0"/>
          <w:sz w:val="24"/>
          <w:szCs w:val="24"/>
          <w:highlight w:val="none"/>
          <w:lang w:val="en-US" w:eastAsia="zh-CN"/>
        </w:rPr>
        <w:t>元，完成预算的100%。</w:t>
      </w:r>
    </w:p>
    <w:p w14:paraId="56D422BD">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333005DF">
      <w:pPr>
        <w:spacing w:before="100" w:beforeLines="0" w:after="100" w:afterLines="0"/>
        <w:ind w:firstLine="480" w:firstLineChars="200"/>
        <w:jc w:val="left"/>
        <w:rPr>
          <w:rFonts w:hint="eastAsia" w:ascii="宋体" w:hAnsi="宋体" w:eastAsia="宋体" w:cs="宋体"/>
          <w:color w:val="000000"/>
          <w:kern w:val="0"/>
          <w:sz w:val="24"/>
          <w:szCs w:val="24"/>
          <w:highlight w:val="none"/>
          <w:lang w:val="zh-CN" w:eastAsia="zh-CN"/>
        </w:rPr>
      </w:pPr>
      <w:r>
        <w:rPr>
          <w:rFonts w:hint="eastAsia" w:ascii="宋体" w:hAnsi="宋体" w:eastAsia="宋体" w:cs="宋体"/>
          <w:color w:val="000000"/>
          <w:kern w:val="0"/>
          <w:sz w:val="24"/>
          <w:szCs w:val="24"/>
          <w:highlight w:val="none"/>
          <w:lang w:val="zh-CN" w:eastAsia="zh-CN"/>
        </w:rPr>
        <w:t>部门（单位）整体支出绩效自评表（见附件）</w:t>
      </w:r>
    </w:p>
    <w:p w14:paraId="2E52F5D7">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5BEF8E8D">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4726F4F8">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0B25C63E">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F7BAB41">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3CB09826">
      <w:pPr>
        <w:spacing w:before="100" w:beforeLines="0" w:after="100" w:afterLines="0"/>
        <w:ind w:firstLine="482" w:firstLineChars="20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501CDD99">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2F3855A7">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101A6325">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3F9277A2">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758147C2">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4F01B2BA">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B23128F">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2A56248">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F6CA68D">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5EBBB437">
      <w:pPr>
        <w:spacing w:before="100" w:beforeLines="0" w:after="100" w:afterLines="0"/>
        <w:ind w:firstLine="480" w:firstLineChars="20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zh-CN"/>
        </w:rPr>
        <w:t>附件一：华池县人民政府政务服务中心</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年决算报表</w:t>
      </w:r>
    </w:p>
    <w:p w14:paraId="453C868A">
      <w:pPr>
        <w:spacing w:before="100" w:beforeLines="0" w:after="100" w:afterLines="0"/>
        <w:ind w:firstLine="480" w:firstLineChars="200"/>
        <w:jc w:val="both"/>
        <w:rPr>
          <w:rFonts w:hint="eastAsia" w:ascii="宋体" w:hAnsi="宋体" w:eastAsia="宋体" w:cs="宋体"/>
          <w:color w:val="auto"/>
          <w:sz w:val="24"/>
          <w:szCs w:val="24"/>
          <w:lang w:val="zh-CN"/>
        </w:rPr>
      </w:pPr>
      <w:bookmarkStart w:id="0" w:name="_GoBack"/>
      <w:bookmarkEnd w:id="0"/>
      <w:r>
        <w:rPr>
          <w:rFonts w:hint="eastAsia" w:ascii="宋体" w:hAnsi="宋体" w:eastAsia="宋体" w:cs="宋体"/>
          <w:color w:val="auto"/>
          <w:sz w:val="24"/>
          <w:szCs w:val="24"/>
          <w:lang w:val="zh-CN"/>
        </w:rPr>
        <w:t>附件二：华池县人民政府政务服务中心部门整体支出绩效自评表</w:t>
      </w:r>
    </w:p>
    <w:p w14:paraId="0B1AB5D6">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50AA0"/>
    <w:multiLevelType w:val="singleLevel"/>
    <w:tmpl w:val="CDD50AA0"/>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xODhkZTg0Yjg5YjE5MDE2NTVhMjdhOWY2NDhiZjEifQ=="/>
  </w:docVars>
  <w:rsids>
    <w:rsidRoot w:val="00000000"/>
    <w:rsid w:val="0740520F"/>
    <w:rsid w:val="082C3238"/>
    <w:rsid w:val="0AF03B88"/>
    <w:rsid w:val="0EA41478"/>
    <w:rsid w:val="1B6D50A3"/>
    <w:rsid w:val="1D556C86"/>
    <w:rsid w:val="23DD3F5C"/>
    <w:rsid w:val="31DC7DE2"/>
    <w:rsid w:val="33077E24"/>
    <w:rsid w:val="333911FD"/>
    <w:rsid w:val="35646E1B"/>
    <w:rsid w:val="360E6E0F"/>
    <w:rsid w:val="38CC1DA9"/>
    <w:rsid w:val="3DB039E8"/>
    <w:rsid w:val="3E102A48"/>
    <w:rsid w:val="3E5F0F6A"/>
    <w:rsid w:val="44FE57D7"/>
    <w:rsid w:val="45572B91"/>
    <w:rsid w:val="53BE1BAD"/>
    <w:rsid w:val="5417628D"/>
    <w:rsid w:val="5E60443C"/>
    <w:rsid w:val="5E7257C7"/>
    <w:rsid w:val="5EBD3850"/>
    <w:rsid w:val="66ED5ABE"/>
    <w:rsid w:val="6D0A00A4"/>
    <w:rsid w:val="79AC172A"/>
    <w:rsid w:val="7BAA6D7E"/>
    <w:rsid w:val="7BD04C7A"/>
    <w:rsid w:val="7C380D32"/>
    <w:rsid w:val="7D3C1EC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f554b4a7-8067-422c-b684-1668dcd8d391}">
  <ds:schemaRefs/>
</ds:datastoreItem>
</file>

<file path=customXml/itemProps2.xml><?xml version="1.0" encoding="utf-8"?>
<ds:datastoreItem xmlns:ds="http://schemas.openxmlformats.org/officeDocument/2006/customXml" ds:itemID="{f3178d92-ce53-44b4-858d-ba31af8b69d8}">
  <ds:schemaRefs/>
</ds:datastoreItem>
</file>

<file path=customXml/itemProps3.xml><?xml version="1.0" encoding="utf-8"?>
<ds:datastoreItem xmlns:ds="http://schemas.openxmlformats.org/officeDocument/2006/customXml" ds:itemID="{d00310e4-8bf3-462d-b67a-19c3ce8b0ae7}">
  <ds:schemaRefs/>
</ds:datastoreItem>
</file>

<file path=customXml/itemProps4.xml><?xml version="1.0" encoding="utf-8"?>
<ds:datastoreItem xmlns:ds="http://schemas.openxmlformats.org/officeDocument/2006/customXml" ds:itemID="{0f1ad900-4b2f-478b-a35e-f8ad0e24adec}">
  <ds:schemaRefs/>
</ds:datastoreItem>
</file>

<file path=customXml/itemProps5.xml><?xml version="1.0" encoding="utf-8"?>
<ds:datastoreItem xmlns:ds="http://schemas.openxmlformats.org/officeDocument/2006/customXml" ds:itemID="{f6102c3f-ef40-40c5-b18c-e6fa1e7b6a0b}">
  <ds:schemaRefs/>
</ds:datastoreItem>
</file>

<file path=customXml/itemProps6.xml><?xml version="1.0" encoding="utf-8"?>
<ds:datastoreItem xmlns:ds="http://schemas.openxmlformats.org/officeDocument/2006/customXml" ds:itemID="{9d2f0902-fa6d-4856-a3bf-c18b85cff549}">
  <ds:schemaRefs/>
</ds:datastoreItem>
</file>

<file path=customXml/itemProps7.xml><?xml version="1.0" encoding="utf-8"?>
<ds:datastoreItem xmlns:ds="http://schemas.openxmlformats.org/officeDocument/2006/customXml" ds:itemID="{c5c43f85-6153-48f4-8352-5d41250e362d}">
  <ds:schemaRefs/>
</ds:datastoreItem>
</file>

<file path=customXml/itemProps8.xml><?xml version="1.0" encoding="utf-8"?>
<ds:datastoreItem xmlns:ds="http://schemas.openxmlformats.org/officeDocument/2006/customXml" ds:itemID="{409fde6e-7638-4e7a-9add-2ed9c2102562}">
  <ds:schemaRefs/>
</ds:datastoreItem>
</file>

<file path=customXml/itemProps9.xml><?xml version="1.0" encoding="utf-8"?>
<ds:datastoreItem xmlns:ds="http://schemas.openxmlformats.org/officeDocument/2006/customXml" ds:itemID="{dc527398-f6c3-41a3-9c7e-3481bf7f31b0}">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4397</Words>
  <Characters>4788</Characters>
  <Lines>0</Lines>
  <Paragraphs>0</Paragraphs>
  <TotalTime>6</TotalTime>
  <ScaleCrop>false</ScaleCrop>
  <LinksUpToDate>false</LinksUpToDate>
  <CharactersWithSpaces>4792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政务中心齐怀斌</cp:lastModifiedBy>
  <dcterms:modified xsi:type="dcterms:W3CDTF">2024-09-10T07:44:11Z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E06D266F13EA4024808CEEADBAD91186_11</vt:lpwstr>
  </property>
</Properties>
</file>