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207856">
      <w:pPr>
        <w:spacing w:before="100" w:beforeLines="0" w:after="100" w:afterLines="0"/>
        <w:jc w:val="center"/>
        <w:rPr>
          <w:rFonts w:hint="eastAsia" w:ascii="宋体" w:hAnsi="宋体"/>
          <w:sz w:val="24"/>
          <w:szCs w:val="24"/>
          <w:lang w:val="zh-CN"/>
        </w:rPr>
      </w:pPr>
    </w:p>
    <w:p w14:paraId="23716DE1">
      <w:pPr>
        <w:spacing w:before="100" w:beforeLines="0" w:after="100" w:afterLines="0"/>
        <w:jc w:val="center"/>
        <w:rPr>
          <w:rFonts w:hint="eastAsia" w:ascii="宋体" w:hAnsi="宋体"/>
          <w:sz w:val="24"/>
          <w:szCs w:val="24"/>
          <w:lang w:val="zh-CN"/>
        </w:rPr>
      </w:pPr>
    </w:p>
    <w:p w14:paraId="7BBE7745">
      <w:pPr>
        <w:spacing w:before="100" w:beforeLines="0" w:after="100" w:afterLines="0"/>
        <w:jc w:val="center"/>
        <w:rPr>
          <w:rFonts w:hint="eastAsia" w:ascii="宋体" w:hAnsi="宋体"/>
          <w:sz w:val="24"/>
          <w:szCs w:val="24"/>
          <w:lang w:val="zh-CN"/>
        </w:rPr>
      </w:pPr>
    </w:p>
    <w:p w14:paraId="0793F490">
      <w:pPr>
        <w:spacing w:before="100" w:beforeLines="0" w:after="100" w:afterLines="0"/>
        <w:jc w:val="center"/>
        <w:rPr>
          <w:rFonts w:hint="eastAsia" w:ascii="宋体" w:hAnsi="宋体"/>
          <w:sz w:val="24"/>
          <w:szCs w:val="24"/>
          <w:lang w:val="zh-CN"/>
        </w:rPr>
      </w:pPr>
    </w:p>
    <w:p w14:paraId="45080945">
      <w:pPr>
        <w:spacing w:before="100" w:beforeLines="0" w:after="100" w:afterLines="0"/>
        <w:jc w:val="center"/>
        <w:rPr>
          <w:rFonts w:hint="eastAsia" w:ascii="宋体" w:hAnsi="宋体"/>
          <w:sz w:val="24"/>
          <w:szCs w:val="24"/>
          <w:lang w:val="zh-CN"/>
        </w:rPr>
      </w:pPr>
    </w:p>
    <w:p w14:paraId="003D5C15">
      <w:pPr>
        <w:spacing w:before="100" w:beforeLines="0" w:after="100" w:afterLines="0"/>
        <w:jc w:val="center"/>
        <w:rPr>
          <w:rFonts w:hint="eastAsia" w:ascii="宋体" w:hAnsi="宋体"/>
          <w:sz w:val="24"/>
          <w:szCs w:val="24"/>
          <w:lang w:val="zh-CN"/>
        </w:rPr>
      </w:pPr>
    </w:p>
    <w:p w14:paraId="28A2FDEE">
      <w:pPr>
        <w:spacing w:before="100" w:beforeLines="0" w:after="100" w:afterLines="0"/>
        <w:jc w:val="center"/>
        <w:rPr>
          <w:rFonts w:hint="eastAsia" w:ascii="宋体" w:hAnsi="宋体"/>
          <w:sz w:val="24"/>
          <w:szCs w:val="24"/>
          <w:lang w:val="zh-CN"/>
        </w:rPr>
      </w:pPr>
    </w:p>
    <w:p w14:paraId="678D0B97">
      <w:pPr>
        <w:spacing w:before="100" w:beforeLines="0" w:after="100" w:afterLines="0"/>
        <w:jc w:val="center"/>
        <w:rPr>
          <w:rFonts w:hint="eastAsia" w:ascii="宋体" w:hAnsi="宋体"/>
          <w:sz w:val="24"/>
          <w:szCs w:val="24"/>
          <w:lang w:val="zh-CN"/>
        </w:rPr>
      </w:pPr>
    </w:p>
    <w:p w14:paraId="01708816">
      <w:pPr>
        <w:spacing w:before="100" w:beforeLines="0" w:after="100" w:afterLines="0"/>
        <w:jc w:val="center"/>
        <w:rPr>
          <w:rFonts w:hint="eastAsia" w:ascii="宋体" w:hAnsi="宋体"/>
          <w:sz w:val="24"/>
          <w:szCs w:val="24"/>
          <w:lang w:val="zh-CN"/>
        </w:rPr>
      </w:pPr>
    </w:p>
    <w:p w14:paraId="3F1357FA">
      <w:pPr>
        <w:spacing w:before="100" w:beforeLines="0" w:after="100" w:afterLines="0"/>
        <w:jc w:val="center"/>
        <w:rPr>
          <w:rFonts w:hint="eastAsia" w:ascii="宋体" w:hAnsi="宋体"/>
          <w:sz w:val="24"/>
          <w:szCs w:val="24"/>
          <w:lang w:val="zh-CN"/>
        </w:rPr>
      </w:pPr>
    </w:p>
    <w:p w14:paraId="57457D95">
      <w:pPr>
        <w:spacing w:before="100" w:beforeLines="0" w:after="100" w:afterLines="0"/>
        <w:jc w:val="center"/>
        <w:rPr>
          <w:rFonts w:hint="eastAsia" w:ascii="仿宋" w:hAnsi="仿宋" w:eastAsia="仿宋" w:cs="仿宋"/>
          <w:sz w:val="32"/>
          <w:szCs w:val="32"/>
          <w:lang w:val="zh-CN"/>
        </w:rPr>
      </w:pPr>
    </w:p>
    <w:p w14:paraId="7108D5DA">
      <w:pPr>
        <w:spacing w:before="100" w:beforeLines="0" w:after="100" w:afterLines="0"/>
        <w:jc w:val="center"/>
        <w:rPr>
          <w:rFonts w:hint="eastAsia" w:ascii="仿宋" w:hAnsi="仿宋" w:eastAsia="仿宋" w:cs="仿宋"/>
          <w:b/>
          <w:bCs/>
          <w:sz w:val="32"/>
          <w:szCs w:val="32"/>
          <w:lang w:val="zh-CN"/>
        </w:rPr>
      </w:pPr>
    </w:p>
    <w:p w14:paraId="19C5BBC9">
      <w:pPr>
        <w:spacing w:before="100" w:beforeLines="0" w:after="100" w:afterLines="0"/>
        <w:jc w:val="center"/>
        <w:rPr>
          <w:rFonts w:hint="eastAsia" w:ascii="仿宋" w:hAnsi="仿宋" w:eastAsia="仿宋" w:cs="仿宋"/>
          <w:b/>
          <w:bCs/>
          <w:color w:val="000000" w:themeColor="text1"/>
          <w:sz w:val="48"/>
          <w:szCs w:val="48"/>
          <w:lang w:val="zh-CN"/>
          <w14:textFill>
            <w14:solidFill>
              <w14:schemeClr w14:val="tx1"/>
            </w14:solidFill>
          </w14:textFill>
        </w:rPr>
      </w:pPr>
      <w:r>
        <w:rPr>
          <w:rFonts w:hint="eastAsia" w:ascii="仿宋" w:hAnsi="仿宋" w:eastAsia="仿宋" w:cs="仿宋"/>
          <w:b/>
          <w:bCs/>
          <w:color w:val="000000" w:themeColor="text1"/>
          <w:sz w:val="48"/>
          <w:szCs w:val="48"/>
          <w:lang w:val="zh-CN"/>
          <w14:textFill>
            <w14:solidFill>
              <w14:schemeClr w14:val="tx1"/>
            </w14:solidFill>
          </w14:textFill>
        </w:rPr>
        <w:t>2023年度</w:t>
      </w:r>
    </w:p>
    <w:p w14:paraId="7753BC92">
      <w:pPr>
        <w:spacing w:before="100" w:beforeLines="0" w:after="100" w:afterLines="0"/>
        <w:jc w:val="center"/>
        <w:rPr>
          <w:rFonts w:hint="eastAsia" w:ascii="仿宋" w:hAnsi="仿宋" w:eastAsia="仿宋" w:cs="仿宋"/>
          <w:b/>
          <w:bCs/>
          <w:color w:val="000000" w:themeColor="text1"/>
          <w:sz w:val="48"/>
          <w:szCs w:val="48"/>
          <w:lang w:val="zh-CN"/>
          <w14:textFill>
            <w14:solidFill>
              <w14:schemeClr w14:val="tx1"/>
            </w14:solidFill>
          </w14:textFill>
        </w:rPr>
      </w:pPr>
      <w:r>
        <w:rPr>
          <w:rFonts w:hint="eastAsia" w:ascii="仿宋" w:hAnsi="仿宋" w:eastAsia="仿宋" w:cs="仿宋"/>
          <w:b/>
          <w:bCs/>
          <w:color w:val="000000" w:themeColor="text1"/>
          <w:sz w:val="48"/>
          <w:szCs w:val="48"/>
          <w:lang w:val="zh-CN"/>
          <w14:textFill>
            <w14:solidFill>
              <w14:schemeClr w14:val="tx1"/>
            </w14:solidFill>
          </w14:textFill>
        </w:rPr>
        <w:t>华池县人力资源市场管理中心部门决算</w:t>
      </w:r>
    </w:p>
    <w:p w14:paraId="2EE4AF09">
      <w:pPr>
        <w:spacing w:before="100" w:beforeLines="0" w:after="100" w:afterLines="0"/>
        <w:jc w:val="center"/>
        <w:rPr>
          <w:rFonts w:hint="eastAsia" w:ascii="仿宋" w:hAnsi="仿宋" w:eastAsia="仿宋" w:cs="仿宋"/>
          <w:color w:val="000000" w:themeColor="text1"/>
          <w:sz w:val="32"/>
          <w:szCs w:val="32"/>
          <w:lang w:val="zh-CN"/>
          <w14:textFill>
            <w14:solidFill>
              <w14:schemeClr w14:val="tx1"/>
            </w14:solidFill>
          </w14:textFill>
        </w:rPr>
      </w:pPr>
    </w:p>
    <w:p w14:paraId="5AFD50BD">
      <w:pPr>
        <w:spacing w:before="100" w:beforeLines="0" w:after="100" w:afterLines="0"/>
        <w:jc w:val="center"/>
        <w:rPr>
          <w:rFonts w:hint="eastAsia" w:ascii="仿宋" w:hAnsi="仿宋" w:eastAsia="仿宋" w:cs="仿宋"/>
          <w:color w:val="000000" w:themeColor="text1"/>
          <w:sz w:val="32"/>
          <w:szCs w:val="32"/>
          <w:lang w:val="zh-CN"/>
          <w14:textFill>
            <w14:solidFill>
              <w14:schemeClr w14:val="tx1"/>
            </w14:solidFill>
          </w14:textFill>
        </w:rPr>
      </w:pPr>
    </w:p>
    <w:p w14:paraId="73C26613">
      <w:pPr>
        <w:spacing w:before="100" w:beforeLines="0" w:after="100" w:afterLines="0"/>
        <w:jc w:val="center"/>
        <w:rPr>
          <w:rFonts w:hint="eastAsia" w:ascii="仿宋" w:hAnsi="仿宋" w:eastAsia="仿宋" w:cs="仿宋"/>
          <w:color w:val="000000" w:themeColor="text1"/>
          <w:sz w:val="32"/>
          <w:szCs w:val="32"/>
          <w:lang w:val="zh-CN"/>
          <w14:textFill>
            <w14:solidFill>
              <w14:schemeClr w14:val="tx1"/>
            </w14:solidFill>
          </w14:textFill>
        </w:rPr>
      </w:pPr>
    </w:p>
    <w:p w14:paraId="2EBE0EBD">
      <w:pPr>
        <w:spacing w:before="100" w:beforeLines="0" w:after="100" w:afterLines="0"/>
        <w:jc w:val="center"/>
        <w:rPr>
          <w:rFonts w:hint="eastAsia" w:ascii="仿宋" w:hAnsi="仿宋" w:eastAsia="仿宋" w:cs="仿宋"/>
          <w:color w:val="000000" w:themeColor="text1"/>
          <w:sz w:val="32"/>
          <w:szCs w:val="32"/>
          <w:lang w:val="zh-CN"/>
          <w14:textFill>
            <w14:solidFill>
              <w14:schemeClr w14:val="tx1"/>
            </w14:solidFill>
          </w14:textFill>
        </w:rPr>
      </w:pPr>
    </w:p>
    <w:p w14:paraId="61E37B70">
      <w:pPr>
        <w:spacing w:before="100" w:beforeLines="0" w:after="100" w:afterLines="0"/>
        <w:jc w:val="center"/>
        <w:rPr>
          <w:rFonts w:hint="eastAsia" w:ascii="仿宋" w:hAnsi="仿宋" w:eastAsia="仿宋" w:cs="仿宋"/>
          <w:color w:val="000000" w:themeColor="text1"/>
          <w:sz w:val="32"/>
          <w:szCs w:val="32"/>
          <w:lang w:val="zh-CN"/>
          <w14:textFill>
            <w14:solidFill>
              <w14:schemeClr w14:val="tx1"/>
            </w14:solidFill>
          </w14:textFill>
        </w:rPr>
      </w:pPr>
    </w:p>
    <w:p w14:paraId="2DBBD418">
      <w:pPr>
        <w:spacing w:before="100" w:beforeLines="0" w:after="100" w:afterLines="0"/>
        <w:jc w:val="center"/>
        <w:rPr>
          <w:rFonts w:hint="eastAsia" w:ascii="仿宋" w:hAnsi="仿宋" w:eastAsia="仿宋" w:cs="仿宋"/>
          <w:color w:val="000000" w:themeColor="text1"/>
          <w:sz w:val="32"/>
          <w:szCs w:val="32"/>
          <w:lang w:val="zh-CN"/>
          <w14:textFill>
            <w14:solidFill>
              <w14:schemeClr w14:val="tx1"/>
            </w14:solidFill>
          </w14:textFill>
        </w:rPr>
      </w:pPr>
    </w:p>
    <w:p w14:paraId="4EA1A03A">
      <w:pPr>
        <w:spacing w:before="100" w:beforeLines="0" w:after="100" w:afterLines="0"/>
        <w:jc w:val="center"/>
        <w:rPr>
          <w:rFonts w:hint="eastAsia" w:ascii="仿宋" w:hAnsi="仿宋" w:eastAsia="仿宋" w:cs="仿宋"/>
          <w:color w:val="000000" w:themeColor="text1"/>
          <w:sz w:val="32"/>
          <w:szCs w:val="32"/>
          <w:lang w:val="zh-CN"/>
          <w14:textFill>
            <w14:solidFill>
              <w14:schemeClr w14:val="tx1"/>
            </w14:solidFill>
          </w14:textFill>
        </w:rPr>
      </w:pPr>
    </w:p>
    <w:p w14:paraId="24796290">
      <w:pPr>
        <w:spacing w:before="100" w:beforeLines="0" w:after="100" w:afterLines="0"/>
        <w:jc w:val="center"/>
        <w:rPr>
          <w:rFonts w:hint="eastAsia" w:ascii="仿宋" w:hAnsi="仿宋" w:eastAsia="仿宋" w:cs="仿宋"/>
          <w:color w:val="000000" w:themeColor="text1"/>
          <w:sz w:val="32"/>
          <w:szCs w:val="32"/>
          <w:lang w:val="zh-CN"/>
          <w14:textFill>
            <w14:solidFill>
              <w14:schemeClr w14:val="tx1"/>
            </w14:solidFill>
          </w14:textFill>
        </w:rPr>
      </w:pPr>
    </w:p>
    <w:p w14:paraId="7010F64F">
      <w:pPr>
        <w:spacing w:before="100" w:beforeLines="0" w:after="100" w:afterLines="0"/>
        <w:jc w:val="both"/>
        <w:rPr>
          <w:rFonts w:hint="eastAsia" w:ascii="仿宋" w:hAnsi="仿宋" w:eastAsia="仿宋" w:cs="仿宋"/>
          <w:b/>
          <w:color w:val="000000" w:themeColor="text1"/>
          <w:sz w:val="32"/>
          <w:szCs w:val="32"/>
          <w:lang w:val="zh-CN"/>
          <w14:textFill>
            <w14:solidFill>
              <w14:schemeClr w14:val="tx1"/>
            </w14:solidFill>
          </w14:textFill>
        </w:rPr>
      </w:pPr>
    </w:p>
    <w:p w14:paraId="3268CBB1">
      <w:pPr>
        <w:spacing w:before="100" w:beforeLines="0" w:after="100" w:afterLines="0"/>
        <w:jc w:val="center"/>
        <w:rPr>
          <w:rFonts w:hint="eastAsia" w:ascii="仿宋" w:hAnsi="仿宋" w:eastAsia="仿宋" w:cs="仿宋"/>
          <w:color w:val="000000" w:themeColor="text1"/>
          <w:sz w:val="52"/>
          <w:szCs w:val="52"/>
          <w:lang w:val="zh-CN"/>
          <w14:textFill>
            <w14:solidFill>
              <w14:schemeClr w14:val="tx1"/>
            </w14:solidFill>
          </w14:textFill>
        </w:rPr>
      </w:pPr>
      <w:r>
        <w:rPr>
          <w:rFonts w:hint="eastAsia" w:ascii="仿宋" w:hAnsi="仿宋" w:eastAsia="仿宋" w:cs="仿宋"/>
          <w:b/>
          <w:color w:val="000000" w:themeColor="text1"/>
          <w:sz w:val="52"/>
          <w:szCs w:val="52"/>
          <w:lang w:val="zh-CN"/>
          <w14:textFill>
            <w14:solidFill>
              <w14:schemeClr w14:val="tx1"/>
            </w14:solidFill>
          </w14:textFill>
        </w:rPr>
        <w:t>目</w:t>
      </w:r>
      <w:r>
        <w:rPr>
          <w:rFonts w:hint="eastAsia" w:ascii="仿宋" w:hAnsi="仿宋" w:eastAsia="仿宋" w:cs="仿宋"/>
          <w:b/>
          <w:color w:val="000000" w:themeColor="text1"/>
          <w:sz w:val="52"/>
          <w:szCs w:val="52"/>
          <w:lang w:val="en-US" w:eastAsia="zh-CN"/>
          <w14:textFill>
            <w14:solidFill>
              <w14:schemeClr w14:val="tx1"/>
            </w14:solidFill>
          </w14:textFill>
        </w:rPr>
        <w:t xml:space="preserve"> </w:t>
      </w:r>
      <w:r>
        <w:rPr>
          <w:rFonts w:hint="eastAsia" w:ascii="仿宋" w:hAnsi="仿宋" w:eastAsia="仿宋" w:cs="仿宋"/>
          <w:b/>
          <w:color w:val="000000" w:themeColor="text1"/>
          <w:sz w:val="52"/>
          <w:szCs w:val="52"/>
          <w:lang w:val="zh-CN"/>
          <w14:textFill>
            <w14:solidFill>
              <w14:schemeClr w14:val="tx1"/>
            </w14:solidFill>
          </w14:textFill>
        </w:rPr>
        <w:t>录</w:t>
      </w:r>
    </w:p>
    <w:p w14:paraId="525ECCA2">
      <w:pPr>
        <w:spacing w:before="100" w:beforeLines="0" w:after="100" w:afterLines="0"/>
        <w:jc w:val="left"/>
        <w:rPr>
          <w:rFonts w:hint="eastAsia" w:ascii="仿宋" w:hAnsi="仿宋" w:eastAsia="仿宋" w:cs="仿宋"/>
          <w:b/>
          <w:color w:val="000000" w:themeColor="text1"/>
          <w:sz w:val="32"/>
          <w:szCs w:val="32"/>
          <w:lang w:val="zh-CN"/>
          <w14:textFill>
            <w14:solidFill>
              <w14:schemeClr w14:val="tx1"/>
            </w14:solidFill>
          </w14:textFill>
        </w:rPr>
      </w:pPr>
    </w:p>
    <w:p w14:paraId="529EC53D">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第一部分部门概况</w:t>
      </w:r>
    </w:p>
    <w:p w14:paraId="4FE37FD2">
      <w:pPr>
        <w:numPr>
          <w:ilvl w:val="0"/>
          <w:numId w:val="1"/>
        </w:num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部门职责</w:t>
      </w:r>
    </w:p>
    <w:p w14:paraId="27B42F31">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二、机构设置</w:t>
      </w:r>
    </w:p>
    <w:p w14:paraId="07ADE5E6">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第二部分2023年度部门决算表</w:t>
      </w:r>
    </w:p>
    <w:p w14:paraId="75A0A725">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一、收入支出决算总表</w:t>
      </w:r>
    </w:p>
    <w:p w14:paraId="78212D4B">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二、收入决算表</w:t>
      </w:r>
    </w:p>
    <w:p w14:paraId="36D33F7F">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三、支出决算表</w:t>
      </w:r>
    </w:p>
    <w:p w14:paraId="1F2F77B7">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四、财政拨款收入支出决算总表</w:t>
      </w:r>
    </w:p>
    <w:p w14:paraId="26B374C1">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五、一般公共预算财政拨款支出决算表</w:t>
      </w:r>
    </w:p>
    <w:p w14:paraId="7D9AC491">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六、一般公共预算财政拨款基本支出决算明细表</w:t>
      </w:r>
    </w:p>
    <w:p w14:paraId="2D8FF326">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七、政府性基金预算财政拨款收入支出决算表</w:t>
      </w:r>
    </w:p>
    <w:p w14:paraId="6C7D4719">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八、国有资本经营预算财政拨款支出决算表</w:t>
      </w:r>
    </w:p>
    <w:p w14:paraId="463D7784">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九、财政拨款“三公”经费支出决算表</w:t>
      </w:r>
    </w:p>
    <w:p w14:paraId="663CA698">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第三部分2023年度部门决算情况说明</w:t>
      </w:r>
    </w:p>
    <w:p w14:paraId="75DC26BE">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一、收入支出决算总体情况说明</w:t>
      </w:r>
    </w:p>
    <w:p w14:paraId="5537747A">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二、收入决算情况说明</w:t>
      </w:r>
    </w:p>
    <w:p w14:paraId="55B63F42">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三、支出决算情况说明</w:t>
      </w:r>
    </w:p>
    <w:p w14:paraId="6E7E2836">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四、财政拨款收入支出决算总体情况说明</w:t>
      </w:r>
    </w:p>
    <w:p w14:paraId="5306ED9A">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五、一般公共预算财政拨款支出决算情况说明</w:t>
      </w:r>
    </w:p>
    <w:p w14:paraId="76772526">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六、一般公共预算财政拨款基本支出决算情况说明</w:t>
      </w:r>
    </w:p>
    <w:p w14:paraId="0364C8EA">
      <w:pPr>
        <w:spacing w:before="100" w:beforeLines="0" w:after="100" w:afterLines="0"/>
        <w:jc w:val="left"/>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七、政府性基金预算财政拨款收支决算情况说明</w:t>
      </w:r>
    </w:p>
    <w:p w14:paraId="4382ED8D">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八、国有资本经营预算财政拨款支出情况说明</w:t>
      </w:r>
    </w:p>
    <w:p w14:paraId="6EB688B5">
      <w:pPr>
        <w:spacing w:before="100" w:beforeLines="0" w:after="100" w:afterLines="0"/>
        <w:jc w:val="left"/>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九、财政拨款“三公”经费支出决算情况说明</w:t>
      </w:r>
    </w:p>
    <w:p w14:paraId="3C665F2D">
      <w:pPr>
        <w:spacing w:before="100" w:beforeLines="0" w:after="100" w:afterLines="0"/>
        <w:jc w:val="left"/>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十、机关运行经费支出情况说明</w:t>
      </w:r>
    </w:p>
    <w:p w14:paraId="08C78EA4">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十一、政府采购支出情况说明</w:t>
      </w:r>
    </w:p>
    <w:p w14:paraId="4C4643B3">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十二、国有资产占用情况说明</w:t>
      </w:r>
    </w:p>
    <w:p w14:paraId="041503DE">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十三、其他需要说明的情况</w:t>
      </w:r>
    </w:p>
    <w:p w14:paraId="71DA5EC2">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第四部分预算绩效情况说明</w:t>
      </w:r>
    </w:p>
    <w:p w14:paraId="260684F5">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第五部分名词解释</w:t>
      </w:r>
    </w:p>
    <w:p w14:paraId="75529280">
      <w:pPr>
        <w:spacing w:before="100" w:beforeLines="0" w:after="100" w:afterLines="0"/>
        <w:jc w:val="center"/>
        <w:rPr>
          <w:rFonts w:hint="eastAsia" w:ascii="仿宋" w:hAnsi="仿宋" w:eastAsia="仿宋" w:cs="仿宋"/>
          <w:color w:val="000000" w:themeColor="text1"/>
          <w:sz w:val="32"/>
          <w:szCs w:val="32"/>
          <w:lang w:val="zh-CN"/>
          <w14:textFill>
            <w14:solidFill>
              <w14:schemeClr w14:val="tx1"/>
            </w14:solidFill>
          </w14:textFill>
        </w:rPr>
      </w:pPr>
    </w:p>
    <w:p w14:paraId="6C20E858">
      <w:pPr>
        <w:spacing w:before="100" w:beforeLines="0" w:after="100" w:afterLines="0"/>
        <w:jc w:val="center"/>
        <w:rPr>
          <w:rFonts w:hint="eastAsia" w:ascii="仿宋" w:hAnsi="仿宋" w:eastAsia="仿宋" w:cs="仿宋"/>
          <w:color w:val="000000" w:themeColor="text1"/>
          <w:sz w:val="32"/>
          <w:szCs w:val="32"/>
          <w:lang w:val="zh-CN"/>
          <w14:textFill>
            <w14:solidFill>
              <w14:schemeClr w14:val="tx1"/>
            </w14:solidFill>
          </w14:textFill>
        </w:rPr>
      </w:pPr>
    </w:p>
    <w:p w14:paraId="2E63163A">
      <w:pPr>
        <w:spacing w:before="100" w:beforeLines="0" w:after="100" w:afterLines="0"/>
        <w:jc w:val="center"/>
        <w:rPr>
          <w:rFonts w:hint="eastAsia" w:ascii="仿宋" w:hAnsi="仿宋" w:eastAsia="仿宋" w:cs="仿宋"/>
          <w:color w:val="000000" w:themeColor="text1"/>
          <w:sz w:val="32"/>
          <w:szCs w:val="32"/>
          <w:lang w:val="zh-CN"/>
          <w14:textFill>
            <w14:solidFill>
              <w14:schemeClr w14:val="tx1"/>
            </w14:solidFill>
          </w14:textFill>
        </w:rPr>
      </w:pPr>
    </w:p>
    <w:p w14:paraId="4C7CD3FC">
      <w:pPr>
        <w:spacing w:before="100" w:beforeLines="0" w:after="100" w:afterLines="0"/>
        <w:jc w:val="center"/>
        <w:rPr>
          <w:rFonts w:hint="eastAsia" w:ascii="仿宋" w:hAnsi="仿宋" w:eastAsia="仿宋" w:cs="仿宋"/>
          <w:color w:val="000000" w:themeColor="text1"/>
          <w:sz w:val="32"/>
          <w:szCs w:val="32"/>
          <w:lang w:val="zh-CN"/>
          <w14:textFill>
            <w14:solidFill>
              <w14:schemeClr w14:val="tx1"/>
            </w14:solidFill>
          </w14:textFill>
        </w:rPr>
      </w:pPr>
    </w:p>
    <w:p w14:paraId="535CBA17">
      <w:pPr>
        <w:spacing w:before="100" w:beforeLines="0" w:after="100" w:afterLines="0"/>
        <w:jc w:val="center"/>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第一部分部门概况</w:t>
      </w:r>
    </w:p>
    <w:p w14:paraId="779F7529">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一、部门职责</w:t>
      </w:r>
    </w:p>
    <w:p w14:paraId="4510A759">
      <w:pPr>
        <w:spacing w:before="100" w:beforeLines="0" w:after="100" w:afterLines="0"/>
        <w:ind w:firstLine="640" w:firstLineChars="200"/>
        <w:jc w:val="left"/>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华池县人力资源市场管理中心是华池县人力资源和社会保障局</w:t>
      </w:r>
      <w:r>
        <w:rPr>
          <w:rFonts w:ascii="Times New Roman" w:hAnsi="Times New Roman" w:eastAsia="仿宋_GB2312" w:cs="Times New Roman"/>
          <w:color w:val="000000" w:themeColor="text1"/>
          <w:sz w:val="32"/>
          <w:szCs w:val="32"/>
          <w14:textFill>
            <w14:solidFill>
              <w14:schemeClr w14:val="tx1"/>
            </w14:solidFill>
          </w14:textFill>
        </w:rPr>
        <w:t>的职能部门。主要职责是:</w:t>
      </w:r>
      <w:r>
        <w:rPr>
          <w:rFonts w:hint="eastAsia" w:ascii="仿宋_GB2312" w:eastAsia="仿宋_GB2312"/>
          <w:color w:val="000000" w:themeColor="text1"/>
          <w:sz w:val="32"/>
          <w:szCs w:val="32"/>
          <w14:textFill>
            <w14:solidFill>
              <w14:schemeClr w14:val="tx1"/>
            </w14:solidFill>
          </w14:textFill>
        </w:rPr>
        <w:t xml:space="preserve">1、社保卡办理；2、高校毕业生到非公经济组织就业；3、高校毕业生注册登记；4、下岗失业人员公益性岗位；5、社保补贴申报； 6.退休职工档案管理；7.就业见习。  </w:t>
      </w:r>
    </w:p>
    <w:p w14:paraId="701988AB">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二、机构设置</w:t>
      </w:r>
    </w:p>
    <w:p w14:paraId="73CB999C">
      <w:pPr>
        <w:pStyle w:val="2"/>
        <w:shd w:val="clear" w:color="auto" w:fill="FFFFFF"/>
        <w:spacing w:before="0" w:beforeAutospacing="0" w:after="0" w:afterAutospacing="0" w:line="560" w:lineRule="exact"/>
        <w:ind w:firstLine="643"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b/>
          <w:bCs/>
          <w:color w:val="000000" w:themeColor="text1"/>
          <w:sz w:val="32"/>
          <w:szCs w:val="32"/>
          <w14:textFill>
            <w14:solidFill>
              <w14:schemeClr w14:val="tx1"/>
            </w14:solidFill>
          </w14:textFill>
        </w:rPr>
        <w:t>（1）机关内设机构</w:t>
      </w:r>
    </w:p>
    <w:p w14:paraId="3F741115">
      <w:pPr>
        <w:pStyle w:val="2"/>
        <w:shd w:val="clear" w:color="auto" w:fill="FFFFFF"/>
        <w:spacing w:before="0" w:beforeAutospacing="0" w:after="0" w:afterAutospacing="0"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hint="eastAsia" w:ascii="仿宋_GB2312" w:eastAsia="仿宋_GB2312" w:cs="仿宋_GB2312"/>
          <w:color w:val="000000" w:themeColor="text1"/>
          <w:sz w:val="32"/>
          <w:szCs w:val="32"/>
          <w14:textFill>
            <w14:solidFill>
              <w14:schemeClr w14:val="tx1"/>
            </w14:solidFill>
          </w14:textFill>
        </w:rPr>
        <w:t>华池县人力资源市场管理中心</w:t>
      </w:r>
      <w:r>
        <w:rPr>
          <w:rFonts w:ascii="Times New Roman" w:hAnsi="Times New Roman" w:eastAsia="仿宋_GB2312" w:cs="Times New Roman"/>
          <w:color w:val="000000" w:themeColor="text1"/>
          <w:sz w:val="32"/>
          <w:szCs w:val="32"/>
          <w14:textFill>
            <w14:solidFill>
              <w14:schemeClr w14:val="tx1"/>
            </w14:solidFill>
          </w14:textFill>
        </w:rPr>
        <w:t>内设</w:t>
      </w:r>
      <w:r>
        <w:rPr>
          <w:rFonts w:hint="eastAsia" w:ascii="仿宋_GB2312" w:eastAsia="仿宋_GB2312" w:cs="仿宋_GB2312"/>
          <w:color w:val="000000" w:themeColor="text1"/>
          <w:sz w:val="32"/>
          <w:szCs w:val="32"/>
          <w14:textFill>
            <w14:solidFill>
              <w14:schemeClr w14:val="tx1"/>
            </w14:solidFill>
          </w14:textFill>
        </w:rPr>
        <w:t>1</w:t>
      </w:r>
      <w:r>
        <w:rPr>
          <w:rFonts w:ascii="Times New Roman" w:hAnsi="Times New Roman" w:eastAsia="仿宋_GB2312" w:cs="Times New Roman"/>
          <w:color w:val="000000" w:themeColor="text1"/>
          <w:sz w:val="32"/>
          <w:szCs w:val="32"/>
          <w14:textFill>
            <w14:solidFill>
              <w14:schemeClr w14:val="tx1"/>
            </w14:solidFill>
          </w14:textFill>
        </w:rPr>
        <w:t>个职能</w:t>
      </w:r>
      <w:r>
        <w:rPr>
          <w:rFonts w:hint="eastAsia" w:ascii="Times New Roman" w:hAnsi="Times New Roman" w:eastAsia="仿宋_GB2312" w:cs="Times New Roman"/>
          <w:color w:val="000000" w:themeColor="text1"/>
          <w:sz w:val="32"/>
          <w:szCs w:val="32"/>
          <w14:textFill>
            <w14:solidFill>
              <w14:schemeClr w14:val="tx1"/>
            </w14:solidFill>
          </w14:textFill>
        </w:rPr>
        <w:t>股室</w:t>
      </w:r>
      <w:r>
        <w:rPr>
          <w:rFonts w:ascii="Times New Roman" w:hAnsi="Times New Roman" w:eastAsia="仿宋_GB2312" w:cs="Times New Roman"/>
          <w:color w:val="000000" w:themeColor="text1"/>
          <w:sz w:val="32"/>
          <w:szCs w:val="32"/>
          <w14:textFill>
            <w14:solidFill>
              <w14:schemeClr w14:val="tx1"/>
            </w14:solidFill>
          </w14:textFill>
        </w:rPr>
        <w:t>,包括:办公室。</w:t>
      </w:r>
    </w:p>
    <w:p w14:paraId="7C89CC8D">
      <w:pPr>
        <w:pStyle w:val="2"/>
        <w:shd w:val="clear" w:color="auto" w:fill="FFFFFF"/>
        <w:spacing w:before="0" w:beforeAutospacing="0" w:after="0" w:afterAutospacing="0" w:line="560" w:lineRule="exact"/>
        <w:ind w:firstLine="643"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b/>
          <w:bCs/>
          <w:color w:val="000000" w:themeColor="text1"/>
          <w:sz w:val="32"/>
          <w:szCs w:val="32"/>
          <w14:textFill>
            <w14:solidFill>
              <w14:schemeClr w14:val="tx1"/>
            </w14:solidFill>
          </w14:textFill>
        </w:rPr>
        <w:t>（2）</w:t>
      </w:r>
      <w:r>
        <w:rPr>
          <w:rFonts w:hint="eastAsia" w:ascii="Times New Roman" w:hAnsi="Times New Roman" w:eastAsia="仿宋_GB2312" w:cs="Times New Roman"/>
          <w:b/>
          <w:bCs/>
          <w:color w:val="000000" w:themeColor="text1"/>
          <w:sz w:val="32"/>
          <w:szCs w:val="32"/>
          <w14:textFill>
            <w14:solidFill>
              <w14:schemeClr w14:val="tx1"/>
            </w14:solidFill>
          </w14:textFill>
        </w:rPr>
        <w:t>人员情况</w:t>
      </w:r>
    </w:p>
    <w:p w14:paraId="7D08262B">
      <w:pPr>
        <w:pStyle w:val="2"/>
        <w:autoSpaceDE w:val="0"/>
        <w:spacing w:beforeAutospacing="0" w:afterAutospacing="0" w:line="420" w:lineRule="atLeast"/>
        <w:ind w:firstLine="640"/>
        <w:jc w:val="both"/>
        <w:rPr>
          <w:rFonts w:ascii="仿宋_GB2312" w:eastAsia="仿宋_GB2312" w:cs="仿宋_GB2312"/>
          <w:color w:val="000000" w:themeColor="text1"/>
          <w:sz w:val="32"/>
          <w:szCs w:val="32"/>
          <w:shd w:val="clear" w:color="auto" w:fill="FFFFFF"/>
          <w14:textFill>
            <w14:solidFill>
              <w14:schemeClr w14:val="tx1"/>
            </w14:solidFill>
          </w14:textFill>
        </w:rPr>
      </w:pPr>
      <w:r>
        <w:rPr>
          <w:rFonts w:ascii="仿宋_GB2312" w:eastAsia="仿宋_GB2312" w:cs="仿宋_GB2312"/>
          <w:color w:val="000000" w:themeColor="text1"/>
          <w:sz w:val="32"/>
          <w:szCs w:val="32"/>
          <w:shd w:val="clear" w:color="auto" w:fill="FFFFFF"/>
          <w14:textFill>
            <w14:solidFill>
              <w14:schemeClr w14:val="tx1"/>
            </w14:solidFill>
          </w14:textFill>
        </w:rPr>
        <w:t>20</w:t>
      </w:r>
      <w:r>
        <w:rPr>
          <w:rFonts w:hint="eastAsia" w:ascii="仿宋_GB2312" w:eastAsia="仿宋_GB2312" w:cs="仿宋_GB2312"/>
          <w:color w:val="000000" w:themeColor="text1"/>
          <w:sz w:val="32"/>
          <w:szCs w:val="32"/>
          <w:shd w:val="clear" w:color="auto" w:fill="FFFFFF"/>
          <w14:textFill>
            <w14:solidFill>
              <w14:schemeClr w14:val="tx1"/>
            </w14:solidFill>
          </w14:textFill>
        </w:rPr>
        <w:t>2</w:t>
      </w:r>
      <w:r>
        <w:rPr>
          <w:rFonts w:hint="eastAsia" w:ascii="仿宋_GB2312" w:eastAsia="仿宋_GB2312" w:cs="仿宋_GB2312"/>
          <w:color w:val="000000" w:themeColor="text1"/>
          <w:sz w:val="32"/>
          <w:szCs w:val="32"/>
          <w:shd w:val="clear" w:color="auto" w:fill="FFFFFF"/>
          <w:lang w:val="en-US" w:eastAsia="zh-CN"/>
          <w14:textFill>
            <w14:solidFill>
              <w14:schemeClr w14:val="tx1"/>
            </w14:solidFill>
          </w14:textFill>
        </w:rPr>
        <w:t>3</w:t>
      </w:r>
      <w:r>
        <w:rPr>
          <w:rFonts w:ascii="仿宋_GB2312" w:eastAsia="仿宋_GB2312" w:cs="仿宋_GB2312"/>
          <w:color w:val="000000" w:themeColor="text1"/>
          <w:sz w:val="32"/>
          <w:szCs w:val="32"/>
          <w:shd w:val="clear" w:color="auto" w:fill="FFFFFF"/>
          <w14:textFill>
            <w14:solidFill>
              <w14:schemeClr w14:val="tx1"/>
            </w14:solidFill>
          </w14:textFill>
        </w:rPr>
        <w:t>年度，我</w:t>
      </w:r>
      <w:r>
        <w:rPr>
          <w:rFonts w:hint="eastAsia" w:ascii="仿宋_GB2312" w:eastAsia="仿宋_GB2312" w:cs="仿宋_GB2312"/>
          <w:color w:val="000000" w:themeColor="text1"/>
          <w:sz w:val="32"/>
          <w:szCs w:val="32"/>
          <w:shd w:val="clear" w:color="auto" w:fill="FFFFFF"/>
          <w14:textFill>
            <w14:solidFill>
              <w14:schemeClr w14:val="tx1"/>
            </w14:solidFill>
          </w14:textFill>
        </w:rPr>
        <w:t>单位</w:t>
      </w:r>
      <w:r>
        <w:rPr>
          <w:rFonts w:ascii="仿宋_GB2312" w:eastAsia="仿宋_GB2312" w:cs="仿宋_GB2312"/>
          <w:color w:val="000000" w:themeColor="text1"/>
          <w:sz w:val="32"/>
          <w:szCs w:val="32"/>
          <w:shd w:val="clear" w:color="auto" w:fill="FFFFFF"/>
          <w14:textFill>
            <w14:solidFill>
              <w14:schemeClr w14:val="tx1"/>
            </w14:solidFill>
          </w14:textFill>
        </w:rPr>
        <w:t>共有</w:t>
      </w:r>
      <w:r>
        <w:rPr>
          <w:rFonts w:hint="eastAsia" w:ascii="仿宋_GB2312" w:eastAsia="仿宋_GB2312" w:cs="仿宋_GB2312"/>
          <w:color w:val="000000" w:themeColor="text1"/>
          <w:sz w:val="32"/>
          <w:szCs w:val="32"/>
          <w:shd w:val="clear" w:color="auto" w:fill="FFFFFF"/>
          <w14:textFill>
            <w14:solidFill>
              <w14:schemeClr w14:val="tx1"/>
            </w14:solidFill>
          </w14:textFill>
        </w:rPr>
        <w:t>编制4名，其中：</w:t>
      </w:r>
      <w:r>
        <w:rPr>
          <w:rFonts w:ascii="仿宋_GB2312" w:eastAsia="仿宋_GB2312" w:cs="仿宋_GB2312"/>
          <w:color w:val="000000" w:themeColor="text1"/>
          <w:sz w:val="32"/>
          <w:szCs w:val="32"/>
          <w:shd w:val="clear" w:color="auto" w:fill="FFFFFF"/>
          <w14:textFill>
            <w14:solidFill>
              <w14:schemeClr w14:val="tx1"/>
            </w14:solidFill>
          </w14:textFill>
        </w:rPr>
        <w:t>行政编制</w:t>
      </w:r>
      <w:r>
        <w:rPr>
          <w:rFonts w:hint="eastAsia" w:ascii="仿宋_GB2312" w:eastAsia="仿宋_GB2312" w:cs="仿宋_GB2312"/>
          <w:color w:val="000000" w:themeColor="text1"/>
          <w:sz w:val="32"/>
          <w:szCs w:val="32"/>
          <w:shd w:val="clear" w:color="auto" w:fill="FFFFFF"/>
          <w14:textFill>
            <w14:solidFill>
              <w14:schemeClr w14:val="tx1"/>
            </w14:solidFill>
          </w14:textFill>
        </w:rPr>
        <w:t>0</w:t>
      </w:r>
      <w:r>
        <w:rPr>
          <w:rFonts w:ascii="仿宋_GB2312" w:eastAsia="仿宋_GB2312" w:cs="仿宋_GB2312"/>
          <w:color w:val="000000" w:themeColor="text1"/>
          <w:sz w:val="32"/>
          <w:szCs w:val="32"/>
          <w:shd w:val="clear" w:color="auto" w:fill="FFFFFF"/>
          <w14:textFill>
            <w14:solidFill>
              <w14:schemeClr w14:val="tx1"/>
            </w14:solidFill>
          </w14:textFill>
        </w:rPr>
        <w:t>名，参公事业编制</w:t>
      </w:r>
      <w:r>
        <w:rPr>
          <w:rFonts w:hint="eastAsia" w:ascii="仿宋_GB2312" w:eastAsia="仿宋_GB2312" w:cs="仿宋_GB2312"/>
          <w:color w:val="000000" w:themeColor="text1"/>
          <w:sz w:val="32"/>
          <w:szCs w:val="32"/>
          <w:shd w:val="clear" w:color="auto" w:fill="FFFFFF"/>
          <w14:textFill>
            <w14:solidFill>
              <w14:schemeClr w14:val="tx1"/>
            </w14:solidFill>
          </w14:textFill>
        </w:rPr>
        <w:t>0</w:t>
      </w:r>
      <w:r>
        <w:rPr>
          <w:rFonts w:ascii="仿宋_GB2312" w:eastAsia="仿宋_GB2312" w:cs="仿宋_GB2312"/>
          <w:color w:val="000000" w:themeColor="text1"/>
          <w:sz w:val="32"/>
          <w:szCs w:val="32"/>
          <w:shd w:val="clear" w:color="auto" w:fill="FFFFFF"/>
          <w14:textFill>
            <w14:solidFill>
              <w14:schemeClr w14:val="tx1"/>
            </w14:solidFill>
          </w14:textFill>
        </w:rPr>
        <w:t>名，事业编制</w:t>
      </w:r>
      <w:r>
        <w:rPr>
          <w:rFonts w:hint="eastAsia" w:ascii="仿宋_GB2312" w:eastAsia="仿宋_GB2312" w:cs="仿宋_GB2312"/>
          <w:color w:val="000000" w:themeColor="text1"/>
          <w:sz w:val="32"/>
          <w:szCs w:val="32"/>
          <w:shd w:val="clear" w:color="auto" w:fill="FFFFFF"/>
          <w14:textFill>
            <w14:solidFill>
              <w14:schemeClr w14:val="tx1"/>
            </w14:solidFill>
          </w14:textFill>
        </w:rPr>
        <w:t>4</w:t>
      </w:r>
      <w:r>
        <w:rPr>
          <w:rFonts w:ascii="仿宋_GB2312" w:eastAsia="仿宋_GB2312" w:cs="仿宋_GB2312"/>
          <w:color w:val="000000" w:themeColor="text1"/>
          <w:sz w:val="32"/>
          <w:szCs w:val="32"/>
          <w:shd w:val="clear" w:color="auto" w:fill="FFFFFF"/>
          <w14:textFill>
            <w14:solidFill>
              <w14:schemeClr w14:val="tx1"/>
            </w14:solidFill>
          </w14:textFill>
        </w:rPr>
        <w:t>名，后勤编制</w:t>
      </w:r>
      <w:r>
        <w:rPr>
          <w:rFonts w:hint="eastAsia" w:ascii="仿宋_GB2312" w:eastAsia="仿宋_GB2312" w:cs="仿宋_GB2312"/>
          <w:color w:val="000000" w:themeColor="text1"/>
          <w:sz w:val="32"/>
          <w:szCs w:val="32"/>
          <w:shd w:val="clear" w:color="auto" w:fill="FFFFFF"/>
          <w14:textFill>
            <w14:solidFill>
              <w14:schemeClr w14:val="tx1"/>
            </w14:solidFill>
          </w14:textFill>
        </w:rPr>
        <w:t>0</w:t>
      </w:r>
      <w:r>
        <w:rPr>
          <w:rFonts w:ascii="仿宋_GB2312" w:eastAsia="仿宋_GB2312" w:cs="仿宋_GB2312"/>
          <w:color w:val="000000" w:themeColor="text1"/>
          <w:sz w:val="32"/>
          <w:szCs w:val="32"/>
          <w:shd w:val="clear" w:color="auto" w:fill="FFFFFF"/>
          <w14:textFill>
            <w14:solidFill>
              <w14:schemeClr w14:val="tx1"/>
            </w14:solidFill>
          </w14:textFill>
        </w:rPr>
        <w:t>名</w:t>
      </w:r>
      <w:r>
        <w:rPr>
          <w:rFonts w:hint="eastAsia" w:ascii="仿宋_GB2312" w:eastAsia="仿宋_GB2312" w:cs="仿宋_GB2312"/>
          <w:color w:val="000000" w:themeColor="text1"/>
          <w:sz w:val="32"/>
          <w:szCs w:val="32"/>
          <w:shd w:val="clear" w:color="auto" w:fill="FFFFFF"/>
          <w14:textFill>
            <w14:solidFill>
              <w14:schemeClr w14:val="tx1"/>
            </w14:solidFill>
          </w14:textFill>
        </w:rPr>
        <w:t>。财政供养总人数</w:t>
      </w:r>
      <w:r>
        <w:rPr>
          <w:rFonts w:hint="eastAsia" w:ascii="仿宋_GB2312" w:eastAsia="仿宋_GB2312" w:cs="仿宋_GB2312"/>
          <w:color w:val="000000" w:themeColor="text1"/>
          <w:sz w:val="32"/>
          <w:szCs w:val="32"/>
          <w:shd w:val="clear" w:color="auto" w:fill="FFFFFF"/>
          <w:lang w:val="en-US" w:eastAsia="zh-CN"/>
          <w14:textFill>
            <w14:solidFill>
              <w14:schemeClr w14:val="tx1"/>
            </w14:solidFill>
          </w14:textFill>
        </w:rPr>
        <w:t>8</w:t>
      </w:r>
      <w:r>
        <w:rPr>
          <w:rFonts w:hint="eastAsia" w:ascii="仿宋_GB2312" w:eastAsia="仿宋_GB2312" w:cs="仿宋_GB2312"/>
          <w:color w:val="000000" w:themeColor="text1"/>
          <w:sz w:val="32"/>
          <w:szCs w:val="32"/>
          <w:shd w:val="clear" w:color="auto" w:fill="FFFFFF"/>
          <w14:textFill>
            <w14:solidFill>
              <w14:schemeClr w14:val="tx1"/>
            </w14:solidFill>
          </w14:textFill>
        </w:rPr>
        <w:t>人，其中：在职人员</w:t>
      </w:r>
      <w:r>
        <w:rPr>
          <w:rFonts w:hint="eastAsia" w:ascii="仿宋_GB2312" w:eastAsia="仿宋_GB2312" w:cs="仿宋_GB2312"/>
          <w:color w:val="000000" w:themeColor="text1"/>
          <w:sz w:val="32"/>
          <w:szCs w:val="32"/>
          <w:shd w:val="clear" w:color="auto" w:fill="FFFFFF"/>
          <w:lang w:val="en-US" w:eastAsia="zh-CN"/>
          <w14:textFill>
            <w14:solidFill>
              <w14:schemeClr w14:val="tx1"/>
            </w14:solidFill>
          </w14:textFill>
        </w:rPr>
        <w:t>8</w:t>
      </w:r>
      <w:r>
        <w:rPr>
          <w:rFonts w:hint="eastAsia" w:ascii="仿宋_GB2312" w:eastAsia="仿宋_GB2312" w:cs="仿宋_GB2312"/>
          <w:color w:val="000000" w:themeColor="text1"/>
          <w:sz w:val="32"/>
          <w:szCs w:val="32"/>
          <w:shd w:val="clear" w:color="auto" w:fill="FFFFFF"/>
          <w14:textFill>
            <w14:solidFill>
              <w14:schemeClr w14:val="tx1"/>
            </w14:solidFill>
          </w14:textFill>
        </w:rPr>
        <w:t>人，雇佣人员0人，离退休0人，遗属0人。</w:t>
      </w:r>
    </w:p>
    <w:p w14:paraId="02D8E8E3">
      <w:pPr>
        <w:spacing w:before="100" w:beforeLines="0" w:after="100" w:afterLines="0"/>
        <w:jc w:val="center"/>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第二部分2023年度部门决算表</w:t>
      </w:r>
    </w:p>
    <w:p w14:paraId="32727D2D">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一、收入支出决算总表</w:t>
      </w:r>
    </w:p>
    <w:p w14:paraId="2F12C940">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二、收入决算表</w:t>
      </w:r>
    </w:p>
    <w:p w14:paraId="15FD4FFF">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三、支出决算表</w:t>
      </w:r>
    </w:p>
    <w:p w14:paraId="12ED72C8">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四、财政拨款收入支出决算总表</w:t>
      </w:r>
    </w:p>
    <w:p w14:paraId="7F15EB34">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五、一般公共预算财政拨款支出决算表</w:t>
      </w:r>
    </w:p>
    <w:p w14:paraId="682F52AE">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六、一般公共预算财政拨款基本支出决算明细表</w:t>
      </w:r>
    </w:p>
    <w:p w14:paraId="545E444E">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七、政府性基金预算财政拨款收入支出决算表</w:t>
      </w:r>
    </w:p>
    <w:p w14:paraId="47997B5B">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八、国有资本经营预算财政拨款支出决算表</w:t>
      </w:r>
    </w:p>
    <w:p w14:paraId="75419D6B">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九、财政拨款“三公”经费支出决算表</w:t>
      </w:r>
    </w:p>
    <w:p w14:paraId="4521BEC5">
      <w:pPr>
        <w:spacing w:before="100" w:beforeLines="0" w:after="100" w:afterLines="0"/>
        <w:jc w:val="center"/>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第三部分2023年度部门决算情况说明</w:t>
      </w:r>
    </w:p>
    <w:p w14:paraId="060BCE2A">
      <w:pPr>
        <w:spacing w:before="100" w:beforeLines="0" w:after="100" w:afterLines="0"/>
        <w:jc w:val="left"/>
        <w:rPr>
          <w:rFonts w:hint="eastAsia" w:ascii="仿宋" w:hAnsi="仿宋" w:eastAsia="仿宋" w:cs="仿宋"/>
          <w:b/>
          <w:bCs/>
          <w:color w:val="000000" w:themeColor="text1"/>
          <w:sz w:val="32"/>
          <w:szCs w:val="32"/>
          <w:lang w:val="zh-CN" w:eastAsia="zh-CN"/>
          <w14:textFill>
            <w14:solidFill>
              <w14:schemeClr w14:val="tx1"/>
            </w14:solidFill>
          </w14:textFill>
        </w:rPr>
      </w:pPr>
      <w:r>
        <w:rPr>
          <w:rFonts w:hint="eastAsia" w:ascii="仿宋" w:hAnsi="仿宋" w:eastAsia="仿宋" w:cs="仿宋"/>
          <w:b/>
          <w:bCs/>
          <w:color w:val="000000" w:themeColor="text1"/>
          <w:sz w:val="32"/>
          <w:szCs w:val="32"/>
          <w:lang w:val="zh-CN" w:eastAsia="zh-CN"/>
          <w14:textFill>
            <w14:solidFill>
              <w14:schemeClr w14:val="tx1"/>
            </w14:solidFill>
          </w14:textFill>
        </w:rPr>
        <w:t>一、收入支出决算总体情况说明</w:t>
      </w:r>
    </w:p>
    <w:p w14:paraId="5D07D45E">
      <w:pPr>
        <w:spacing w:before="100" w:beforeLines="0" w:after="100" w:afterLines="0"/>
        <w:ind w:firstLine="640"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2023年度收、支总计</w:t>
      </w:r>
      <w:r>
        <w:rPr>
          <w:rFonts w:hint="eastAsia" w:ascii="仿宋" w:hAnsi="仿宋" w:eastAsia="仿宋" w:cs="仿宋"/>
          <w:color w:val="000000" w:themeColor="text1"/>
          <w:sz w:val="32"/>
          <w:szCs w:val="32"/>
          <w:lang w:val="en-US"/>
          <w14:textFill>
            <w14:solidFill>
              <w14:schemeClr w14:val="tx1"/>
            </w14:solidFill>
          </w14:textFill>
        </w:rPr>
        <w:t>均为</w:t>
      </w:r>
      <w:r>
        <w:rPr>
          <w:rFonts w:hint="eastAsia" w:ascii="仿宋" w:hAnsi="仿宋" w:eastAsia="仿宋" w:cs="仿宋"/>
          <w:color w:val="000000" w:themeColor="text1"/>
          <w:sz w:val="32"/>
          <w:szCs w:val="32"/>
          <w:lang w:val="zh-CN"/>
          <w14:textFill>
            <w14:solidFill>
              <w14:schemeClr w14:val="tx1"/>
            </w14:solidFill>
          </w14:textFill>
        </w:rPr>
        <w:t>695.20万元。</w:t>
      </w:r>
      <w:r>
        <w:rPr>
          <w:rFonts w:hint="eastAsia" w:ascii="仿宋" w:hAnsi="仿宋" w:eastAsia="仿宋" w:cs="仿宋"/>
          <w:color w:val="000000" w:themeColor="text1"/>
          <w:sz w:val="32"/>
          <w:szCs w:val="32"/>
          <w:lang w:val="en-US"/>
          <w14:textFill>
            <w14:solidFill>
              <w14:schemeClr w14:val="tx1"/>
            </w14:solidFill>
          </w14:textFill>
        </w:rPr>
        <w:t>与上年度相比,</w:t>
      </w:r>
      <w:r>
        <w:rPr>
          <w:rFonts w:hint="eastAsia" w:ascii="仿宋" w:hAnsi="仿宋" w:eastAsia="仿宋" w:cs="仿宋"/>
          <w:color w:val="000000" w:themeColor="text1"/>
          <w:sz w:val="32"/>
          <w:szCs w:val="32"/>
          <w:lang w:val="zh-CN"/>
          <w14:textFill>
            <w14:solidFill>
              <w14:schemeClr w14:val="tx1"/>
            </w14:solidFill>
          </w14:textFill>
        </w:rPr>
        <w:t>收、支</w:t>
      </w:r>
      <w:r>
        <w:rPr>
          <w:rFonts w:hint="eastAsia" w:ascii="仿宋" w:hAnsi="仿宋" w:eastAsia="仿宋" w:cs="仿宋"/>
          <w:color w:val="000000" w:themeColor="text1"/>
          <w:sz w:val="32"/>
          <w:szCs w:val="32"/>
          <w:lang w:val="en-US"/>
          <w14:textFill>
            <w14:solidFill>
              <w14:schemeClr w14:val="tx1"/>
            </w14:solidFill>
          </w14:textFill>
        </w:rPr>
        <w:t>总计各</w:t>
      </w:r>
      <w:r>
        <w:rPr>
          <w:rFonts w:hint="eastAsia" w:ascii="仿宋" w:hAnsi="仿宋" w:eastAsia="仿宋" w:cs="仿宋"/>
          <w:color w:val="000000" w:themeColor="text1"/>
          <w:sz w:val="32"/>
          <w:szCs w:val="32"/>
          <w:lang w:val="zh-CN"/>
          <w14:textFill>
            <w14:solidFill>
              <w14:schemeClr w14:val="tx1"/>
            </w14:solidFill>
          </w14:textFill>
        </w:rPr>
        <w:t>增加143.87万元,增长26.1%,主要原因是公益性岗位生活补贴及万民高校毕业生到基层单位就业生活补贴增加。</w:t>
      </w:r>
    </w:p>
    <w:p w14:paraId="4278E3AE">
      <w:pPr>
        <w:spacing w:before="100" w:beforeLines="0" w:after="100" w:afterLines="0"/>
        <w:jc w:val="left"/>
        <w:rPr>
          <w:rFonts w:hint="eastAsia" w:ascii="仿宋" w:hAnsi="仿宋" w:eastAsia="仿宋" w:cs="仿宋"/>
          <w:b/>
          <w:bCs/>
          <w:color w:val="000000" w:themeColor="text1"/>
          <w:sz w:val="32"/>
          <w:szCs w:val="32"/>
          <w:lang w:val="zh-CN" w:eastAsia="zh-CN"/>
          <w14:textFill>
            <w14:solidFill>
              <w14:schemeClr w14:val="tx1"/>
            </w14:solidFill>
          </w14:textFill>
        </w:rPr>
      </w:pPr>
      <w:r>
        <w:rPr>
          <w:rFonts w:hint="eastAsia" w:ascii="仿宋" w:hAnsi="仿宋" w:eastAsia="仿宋" w:cs="仿宋"/>
          <w:b/>
          <w:bCs/>
          <w:color w:val="000000" w:themeColor="text1"/>
          <w:sz w:val="32"/>
          <w:szCs w:val="32"/>
          <w:lang w:val="zh-CN" w:eastAsia="zh-CN"/>
          <w14:textFill>
            <w14:solidFill>
              <w14:schemeClr w14:val="tx1"/>
            </w14:solidFill>
          </w14:textFill>
        </w:rPr>
        <w:t>二、收入决算情况说明</w:t>
      </w:r>
    </w:p>
    <w:p w14:paraId="05442CAF">
      <w:pPr>
        <w:spacing w:before="100" w:beforeLines="0" w:after="100" w:afterLines="0"/>
        <w:ind w:firstLine="640"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2023年度收入合计695.20万元,其中：财政拨款收入695.20万元,占100.00%。</w:t>
      </w:r>
    </w:p>
    <w:p w14:paraId="6CFF3CA4">
      <w:pPr>
        <w:spacing w:before="100" w:beforeLines="0" w:after="100" w:afterLines="0"/>
        <w:jc w:val="left"/>
        <w:rPr>
          <w:rFonts w:hint="eastAsia" w:ascii="仿宋" w:hAnsi="仿宋" w:eastAsia="仿宋" w:cs="仿宋"/>
          <w:b/>
          <w:bCs/>
          <w:color w:val="000000" w:themeColor="text1"/>
          <w:sz w:val="32"/>
          <w:szCs w:val="32"/>
          <w:lang w:val="zh-CN" w:eastAsia="zh-CN"/>
          <w14:textFill>
            <w14:solidFill>
              <w14:schemeClr w14:val="tx1"/>
            </w14:solidFill>
          </w14:textFill>
        </w:rPr>
      </w:pPr>
      <w:r>
        <w:rPr>
          <w:rFonts w:hint="eastAsia" w:ascii="仿宋" w:hAnsi="仿宋" w:eastAsia="仿宋" w:cs="仿宋"/>
          <w:b/>
          <w:bCs/>
          <w:color w:val="000000" w:themeColor="text1"/>
          <w:sz w:val="32"/>
          <w:szCs w:val="32"/>
          <w:lang w:val="zh-CN" w:eastAsia="zh-CN"/>
          <w14:textFill>
            <w14:solidFill>
              <w14:schemeClr w14:val="tx1"/>
            </w14:solidFill>
          </w14:textFill>
        </w:rPr>
        <w:t>三、支出决算情况说明</w:t>
      </w:r>
    </w:p>
    <w:p w14:paraId="6EBBAF8D">
      <w:pPr>
        <w:spacing w:before="100" w:beforeLines="0" w:after="100" w:afterLines="0"/>
        <w:ind w:firstLine="640"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2023年度支出合计695.20万元,其中：基本支出119.06万元,占17.13%；项目支出576.14万元,占82.87%。</w:t>
      </w:r>
    </w:p>
    <w:p w14:paraId="05A1DF77">
      <w:pPr>
        <w:spacing w:before="100" w:beforeLines="0" w:after="100" w:afterLines="0"/>
        <w:jc w:val="left"/>
        <w:rPr>
          <w:rFonts w:hint="eastAsia" w:ascii="仿宋" w:hAnsi="仿宋" w:eastAsia="仿宋" w:cs="仿宋"/>
          <w:b/>
          <w:bCs/>
          <w:color w:val="000000" w:themeColor="text1"/>
          <w:sz w:val="32"/>
          <w:szCs w:val="32"/>
          <w:lang w:val="zh-CN" w:eastAsia="zh-CN"/>
          <w14:textFill>
            <w14:solidFill>
              <w14:schemeClr w14:val="tx1"/>
            </w14:solidFill>
          </w14:textFill>
        </w:rPr>
      </w:pPr>
      <w:r>
        <w:rPr>
          <w:rFonts w:hint="eastAsia" w:ascii="仿宋" w:hAnsi="仿宋" w:eastAsia="仿宋" w:cs="仿宋"/>
          <w:b/>
          <w:bCs/>
          <w:color w:val="000000" w:themeColor="text1"/>
          <w:sz w:val="32"/>
          <w:szCs w:val="32"/>
          <w:lang w:val="zh-CN" w:eastAsia="zh-CN"/>
          <w14:textFill>
            <w14:solidFill>
              <w14:schemeClr w14:val="tx1"/>
            </w14:solidFill>
          </w14:textFill>
        </w:rPr>
        <w:t>四、财政拨款收入支出决算总体情况说明</w:t>
      </w:r>
    </w:p>
    <w:p w14:paraId="08022EF4">
      <w:pPr>
        <w:spacing w:before="100" w:beforeLines="0" w:after="100" w:afterLines="0"/>
        <w:ind w:firstLine="640"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2023年度财政拨款收、支总计</w:t>
      </w:r>
      <w:r>
        <w:rPr>
          <w:rFonts w:hint="eastAsia" w:ascii="仿宋" w:hAnsi="仿宋" w:eastAsia="仿宋" w:cs="仿宋"/>
          <w:color w:val="000000" w:themeColor="text1"/>
          <w:sz w:val="32"/>
          <w:szCs w:val="32"/>
          <w:lang w:val="en-US"/>
          <w14:textFill>
            <w14:solidFill>
              <w14:schemeClr w14:val="tx1"/>
            </w14:solidFill>
          </w14:textFill>
        </w:rPr>
        <w:t>均为</w:t>
      </w:r>
      <w:r>
        <w:rPr>
          <w:rFonts w:hint="eastAsia" w:ascii="仿宋" w:hAnsi="仿宋" w:eastAsia="仿宋" w:cs="仿宋"/>
          <w:color w:val="000000" w:themeColor="text1"/>
          <w:sz w:val="32"/>
          <w:szCs w:val="32"/>
          <w:lang w:val="zh-CN"/>
          <w14:textFill>
            <w14:solidFill>
              <w14:schemeClr w14:val="tx1"/>
            </w14:solidFill>
          </w14:textFill>
        </w:rPr>
        <w:t>695.20万元。与</w:t>
      </w:r>
      <w:r>
        <w:rPr>
          <w:rFonts w:hint="eastAsia" w:ascii="仿宋" w:hAnsi="仿宋" w:eastAsia="仿宋" w:cs="仿宋"/>
          <w:color w:val="000000" w:themeColor="text1"/>
          <w:sz w:val="32"/>
          <w:szCs w:val="32"/>
          <w:lang w:val="en-US"/>
          <w14:textFill>
            <w14:solidFill>
              <w14:schemeClr w14:val="tx1"/>
            </w14:solidFill>
          </w14:textFill>
        </w:rPr>
        <w:t>上</w:t>
      </w:r>
      <w:r>
        <w:rPr>
          <w:rFonts w:hint="eastAsia" w:ascii="仿宋" w:hAnsi="仿宋" w:eastAsia="仿宋" w:cs="仿宋"/>
          <w:color w:val="000000" w:themeColor="text1"/>
          <w:sz w:val="32"/>
          <w:szCs w:val="32"/>
          <w:lang w:val="zh-CN"/>
          <w14:textFill>
            <w14:solidFill>
              <w14:schemeClr w14:val="tx1"/>
            </w14:solidFill>
          </w14:textFill>
        </w:rPr>
        <w:t>年相比,各增加143.87万元,增长26.1%。主要原因是公益性岗位生活补贴及万民高校毕业生到基层单位就业生活补贴增加。</w:t>
      </w:r>
    </w:p>
    <w:p w14:paraId="64E34575">
      <w:pPr>
        <w:spacing w:before="100" w:beforeLines="0" w:after="100" w:afterLines="0"/>
        <w:jc w:val="left"/>
        <w:rPr>
          <w:rFonts w:hint="eastAsia" w:ascii="仿宋" w:hAnsi="仿宋" w:eastAsia="仿宋" w:cs="仿宋"/>
          <w:b/>
          <w:bCs/>
          <w:color w:val="000000" w:themeColor="text1"/>
          <w:sz w:val="32"/>
          <w:szCs w:val="32"/>
          <w:lang w:val="zh-CN" w:eastAsia="zh-CN"/>
          <w14:textFill>
            <w14:solidFill>
              <w14:schemeClr w14:val="tx1"/>
            </w14:solidFill>
          </w14:textFill>
        </w:rPr>
      </w:pPr>
      <w:r>
        <w:rPr>
          <w:rFonts w:hint="eastAsia" w:ascii="仿宋" w:hAnsi="仿宋" w:eastAsia="仿宋" w:cs="仿宋"/>
          <w:b/>
          <w:bCs/>
          <w:color w:val="000000" w:themeColor="text1"/>
          <w:sz w:val="32"/>
          <w:szCs w:val="32"/>
          <w:lang w:val="zh-CN" w:eastAsia="zh-CN"/>
          <w14:textFill>
            <w14:solidFill>
              <w14:schemeClr w14:val="tx1"/>
            </w14:solidFill>
          </w14:textFill>
        </w:rPr>
        <w:t>五、一般公共预算财政拨款支出决算情况说明</w:t>
      </w:r>
    </w:p>
    <w:p w14:paraId="51510A77">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（一）一般公共预算财政拨款支出决算总体情况</w:t>
      </w:r>
    </w:p>
    <w:p w14:paraId="49420C50">
      <w:pPr>
        <w:spacing w:before="100" w:beforeLines="0" w:after="100" w:afterLines="0"/>
        <w:ind w:firstLine="640"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2023年度一般公共预算财政拨款支出695.20万元,较上年决算数增加359.78万元,增长107.26%。主要原因是公益性岗位生活补贴及万民高校毕业生到基层单位就业生活补贴增加。</w:t>
      </w:r>
    </w:p>
    <w:p w14:paraId="2FA13151">
      <w:pPr>
        <w:numPr>
          <w:ilvl w:val="0"/>
          <w:numId w:val="2"/>
        </w:num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一般公共预算财政拨款支出决算结构情况</w:t>
      </w:r>
    </w:p>
    <w:p w14:paraId="3F6FFA77">
      <w:pPr>
        <w:numPr>
          <w:ilvl w:val="0"/>
          <w:numId w:val="0"/>
        </w:numPr>
        <w:spacing w:before="100" w:beforeLines="0" w:after="100" w:afterLines="0"/>
        <w:ind w:firstLine="640"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2023年度一般公共预算财政拨款支出</w:t>
      </w:r>
      <w:r>
        <w:rPr>
          <w:rFonts w:hint="eastAsia" w:ascii="仿宋" w:hAnsi="仿宋" w:eastAsia="仿宋" w:cs="仿宋"/>
          <w:color w:val="000000" w:themeColor="text1"/>
          <w:sz w:val="32"/>
          <w:szCs w:val="32"/>
          <w:lang w:val="zh-CN"/>
          <w14:textFill>
            <w14:solidFill>
              <w14:schemeClr w14:val="tx1"/>
            </w14:solidFill>
          </w14:textFill>
        </w:rPr>
        <w:t>695.20万元，主要用于以下方面：社会保障和就业支出689.10万元,占99.12%；卫生健康支出6.10万元,占0.88%。</w:t>
      </w:r>
    </w:p>
    <w:p w14:paraId="6AE4C2ED">
      <w:pPr>
        <w:numPr>
          <w:ilvl w:val="0"/>
          <w:numId w:val="2"/>
        </w:numPr>
        <w:spacing w:before="100" w:beforeLines="0" w:after="100" w:afterLines="0"/>
        <w:ind w:left="0" w:leftChars="0" w:firstLine="0" w:firstLineChars="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一般公共预算财政拨款支出决算具体情况。</w:t>
      </w:r>
    </w:p>
    <w:p w14:paraId="37FD3CE5">
      <w:pPr>
        <w:numPr>
          <w:ilvl w:val="0"/>
          <w:numId w:val="0"/>
        </w:numPr>
        <w:spacing w:before="100" w:beforeLines="0" w:after="100" w:afterLines="0"/>
        <w:ind w:leftChars="0" w:firstLine="640"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2023年度一般公共预算财政拨款支出年初预算为</w:t>
      </w:r>
      <w:r>
        <w:rPr>
          <w:rFonts w:hint="eastAsia" w:ascii="仿宋" w:hAnsi="仿宋" w:eastAsia="仿宋" w:cs="仿宋"/>
          <w:color w:val="000000" w:themeColor="text1"/>
          <w:sz w:val="32"/>
          <w:szCs w:val="32"/>
          <w:lang w:val="zh-CN"/>
          <w14:textFill>
            <w14:solidFill>
              <w14:schemeClr w14:val="tx1"/>
            </w14:solidFill>
          </w14:textFill>
        </w:rPr>
        <w:t>118.43万元,支出决算为695.20万元,完成年初预算的587.03%。其中：</w:t>
      </w:r>
    </w:p>
    <w:p w14:paraId="6334E016">
      <w:pPr>
        <w:numPr>
          <w:ilvl w:val="0"/>
          <w:numId w:val="3"/>
        </w:numPr>
        <w:spacing w:before="100" w:beforeLines="0" w:after="100" w:afterLines="0"/>
        <w:ind w:firstLine="643"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社会保障和就业支出</w:t>
      </w:r>
      <w:r>
        <w:rPr>
          <w:rFonts w:hint="eastAsia" w:ascii="仿宋" w:hAnsi="仿宋" w:eastAsia="仿宋" w:cs="仿宋"/>
          <w:color w:val="000000" w:themeColor="text1"/>
          <w:sz w:val="32"/>
          <w:szCs w:val="32"/>
          <w:lang w:val="zh-CN"/>
          <w14:textFill>
            <w14:solidFill>
              <w14:schemeClr w14:val="tx1"/>
            </w14:solidFill>
          </w14:textFill>
        </w:rPr>
        <w:t>年初预算数为113.28万元,支出决算为689.10万元,完成年初预算的608.33%</w:t>
      </w:r>
      <w:r>
        <w:rPr>
          <w:rFonts w:hint="eastAsia" w:ascii="仿宋" w:hAnsi="仿宋" w:eastAsia="仿宋" w:cs="仿宋"/>
          <w:color w:val="000000" w:themeColor="text1"/>
          <w:sz w:val="32"/>
          <w:szCs w:val="32"/>
          <w:lang w:val="en-US" w:eastAsia="zh-CN"/>
          <w14:textFill>
            <w14:solidFill>
              <w14:schemeClr w14:val="tx1"/>
            </w14:solidFill>
          </w14:textFill>
        </w:rPr>
        <w:t>,主要原因是公益性岗位生活补贴及万名高校毕业生生活补贴是省级财政拨款，不纳入年初预算。</w:t>
      </w:r>
    </w:p>
    <w:p w14:paraId="1083209E">
      <w:pPr>
        <w:numPr>
          <w:ilvl w:val="0"/>
          <w:numId w:val="3"/>
        </w:numPr>
        <w:spacing w:before="100" w:beforeLines="0" w:after="100" w:afterLines="0"/>
        <w:ind w:firstLine="643"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bCs/>
          <w:color w:val="000000" w:themeColor="text1"/>
          <w:sz w:val="32"/>
          <w:szCs w:val="32"/>
          <w:lang w:val="en-US" w:eastAsia="zh-CN"/>
          <w14:textFill>
            <w14:solidFill>
              <w14:schemeClr w14:val="tx1"/>
            </w14:solidFill>
          </w14:textFill>
        </w:rPr>
        <w:t>卫生健康支出</w:t>
      </w:r>
      <w:r>
        <w:rPr>
          <w:rFonts w:hint="eastAsia" w:ascii="仿宋" w:hAnsi="仿宋" w:eastAsia="仿宋" w:cs="仿宋"/>
          <w:color w:val="000000" w:themeColor="text1"/>
          <w:sz w:val="32"/>
          <w:szCs w:val="32"/>
          <w:lang w:val="zh-CN"/>
          <w14:textFill>
            <w14:solidFill>
              <w14:schemeClr w14:val="tx1"/>
            </w14:solidFill>
          </w14:textFill>
        </w:rPr>
        <w:t>年初预算数为</w:t>
      </w:r>
      <w:r>
        <w:rPr>
          <w:rFonts w:hint="eastAsia" w:ascii="仿宋" w:hAnsi="仿宋" w:eastAsia="仿宋" w:cs="仿宋"/>
          <w:color w:val="000000" w:themeColor="text1"/>
          <w:sz w:val="32"/>
          <w:szCs w:val="32"/>
          <w:lang w:val="en-US" w:eastAsia="zh-CN"/>
          <w14:textFill>
            <w14:solidFill>
              <w14:schemeClr w14:val="tx1"/>
            </w14:solidFill>
          </w14:textFill>
        </w:rPr>
        <w:t>5.15</w:t>
      </w:r>
      <w:r>
        <w:rPr>
          <w:rFonts w:hint="eastAsia" w:ascii="仿宋" w:hAnsi="仿宋" w:eastAsia="仿宋" w:cs="仿宋"/>
          <w:color w:val="000000" w:themeColor="text1"/>
          <w:sz w:val="32"/>
          <w:szCs w:val="32"/>
          <w:lang w:val="zh-CN"/>
          <w14:textFill>
            <w14:solidFill>
              <w14:schemeClr w14:val="tx1"/>
            </w14:solidFill>
          </w14:textFill>
        </w:rPr>
        <w:t>万元,支出决算为</w:t>
      </w:r>
      <w:r>
        <w:rPr>
          <w:rFonts w:hint="eastAsia" w:ascii="仿宋" w:hAnsi="仿宋" w:eastAsia="仿宋" w:cs="仿宋"/>
          <w:color w:val="000000" w:themeColor="text1"/>
          <w:sz w:val="32"/>
          <w:szCs w:val="32"/>
          <w:lang w:val="en-US" w:eastAsia="zh-CN"/>
          <w14:textFill>
            <w14:solidFill>
              <w14:schemeClr w14:val="tx1"/>
            </w14:solidFill>
          </w14:textFill>
        </w:rPr>
        <w:t>6.1</w:t>
      </w:r>
      <w:r>
        <w:rPr>
          <w:rFonts w:hint="eastAsia" w:ascii="仿宋" w:hAnsi="仿宋" w:eastAsia="仿宋" w:cs="仿宋"/>
          <w:color w:val="000000" w:themeColor="text1"/>
          <w:sz w:val="32"/>
          <w:szCs w:val="32"/>
          <w:lang w:val="zh-CN"/>
          <w14:textFill>
            <w14:solidFill>
              <w14:schemeClr w14:val="tx1"/>
            </w14:solidFill>
          </w14:textFill>
        </w:rPr>
        <w:t>万元,完成年初预算的</w:t>
      </w:r>
      <w:r>
        <w:rPr>
          <w:rFonts w:hint="eastAsia" w:ascii="仿宋" w:hAnsi="仿宋" w:eastAsia="仿宋" w:cs="仿宋"/>
          <w:color w:val="000000" w:themeColor="text1"/>
          <w:sz w:val="32"/>
          <w:szCs w:val="32"/>
          <w:lang w:val="en-US" w:eastAsia="zh-CN"/>
          <w14:textFill>
            <w14:solidFill>
              <w14:schemeClr w14:val="tx1"/>
            </w14:solidFill>
          </w14:textFill>
        </w:rPr>
        <w:t>110.91</w:t>
      </w:r>
      <w:r>
        <w:rPr>
          <w:rFonts w:hint="eastAsia" w:ascii="仿宋" w:hAnsi="仿宋" w:eastAsia="仿宋" w:cs="仿宋"/>
          <w:color w:val="000000" w:themeColor="text1"/>
          <w:sz w:val="32"/>
          <w:szCs w:val="32"/>
          <w:lang w:val="zh-CN"/>
          <w14:textFill>
            <w14:solidFill>
              <w14:schemeClr w14:val="tx1"/>
            </w14:solidFill>
          </w14:textFill>
        </w:rPr>
        <w:t>%，主要原因是医疗保险缴纳增加。</w:t>
      </w:r>
    </w:p>
    <w:p w14:paraId="4DF2F8B9">
      <w:pPr>
        <w:spacing w:before="100" w:beforeLines="0" w:after="100" w:afterLines="0"/>
        <w:jc w:val="left"/>
        <w:rPr>
          <w:rFonts w:hint="eastAsia" w:ascii="仿宋" w:hAnsi="仿宋" w:eastAsia="仿宋" w:cs="仿宋"/>
          <w:b/>
          <w:bCs/>
          <w:color w:val="000000" w:themeColor="text1"/>
          <w:sz w:val="32"/>
          <w:szCs w:val="32"/>
          <w:lang w:val="zh-CN" w:eastAsia="zh-CN"/>
          <w14:textFill>
            <w14:solidFill>
              <w14:schemeClr w14:val="tx1"/>
            </w14:solidFill>
          </w14:textFill>
        </w:rPr>
      </w:pPr>
      <w:r>
        <w:rPr>
          <w:rFonts w:hint="eastAsia" w:ascii="仿宋" w:hAnsi="仿宋" w:eastAsia="仿宋" w:cs="仿宋"/>
          <w:b/>
          <w:bCs/>
          <w:color w:val="000000" w:themeColor="text1"/>
          <w:sz w:val="32"/>
          <w:szCs w:val="32"/>
          <w:lang w:val="zh-CN" w:eastAsia="zh-CN"/>
          <w14:textFill>
            <w14:solidFill>
              <w14:schemeClr w14:val="tx1"/>
            </w14:solidFill>
          </w14:textFill>
        </w:rPr>
        <w:t>六、一般公共预算财政拨款基本支出决算情况说明</w:t>
      </w:r>
    </w:p>
    <w:p w14:paraId="75E5E67A">
      <w:pPr>
        <w:spacing w:before="100" w:beforeLines="0" w:after="100" w:afterLines="0"/>
        <w:ind w:firstLine="640"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2023年度一般公共预算财政拨款基本支出119.06万元。其中：</w:t>
      </w:r>
      <w:r>
        <w:rPr>
          <w:rFonts w:hint="eastAsia" w:ascii="仿宋" w:hAnsi="仿宋" w:eastAsia="仿宋" w:cs="仿宋"/>
          <w:b/>
          <w:color w:val="000000" w:themeColor="text1"/>
          <w:sz w:val="32"/>
          <w:szCs w:val="32"/>
          <w:lang w:val="zh-CN"/>
          <w14:textFill>
            <w14:solidFill>
              <w14:schemeClr w14:val="tx1"/>
            </w14:solidFill>
          </w14:textFill>
        </w:rPr>
        <w:t>人员经费</w:t>
      </w:r>
      <w:r>
        <w:rPr>
          <w:rFonts w:hint="eastAsia" w:ascii="仿宋" w:hAnsi="仿宋" w:eastAsia="仿宋" w:cs="仿宋"/>
          <w:color w:val="000000" w:themeColor="text1"/>
          <w:sz w:val="32"/>
          <w:szCs w:val="32"/>
          <w:lang w:val="zh-CN"/>
          <w14:textFill>
            <w14:solidFill>
              <w14:schemeClr w14:val="tx1"/>
            </w14:solidFill>
          </w14:textFill>
        </w:rPr>
        <w:t>112.87万元,较上年决算数减少221.36万元,下降66.23%,主要原因是公益性岗位生活补贴及万名高校毕业生到基层单位就业生活补贴纳入项目支出。人员经费用途主要包基本工资、津贴补贴、奖金、社会保障缴费。</w:t>
      </w:r>
      <w:r>
        <w:rPr>
          <w:rFonts w:hint="eastAsia" w:ascii="仿宋" w:hAnsi="仿宋" w:eastAsia="仿宋" w:cs="仿宋"/>
          <w:b/>
          <w:color w:val="000000" w:themeColor="text1"/>
          <w:sz w:val="32"/>
          <w:szCs w:val="32"/>
          <w:lang w:val="zh-CN"/>
          <w14:textFill>
            <w14:solidFill>
              <w14:schemeClr w14:val="tx1"/>
            </w14:solidFill>
          </w14:textFill>
        </w:rPr>
        <w:t>公用经费</w:t>
      </w:r>
      <w:r>
        <w:rPr>
          <w:rFonts w:hint="eastAsia" w:ascii="仿宋" w:hAnsi="仿宋" w:eastAsia="仿宋" w:cs="仿宋"/>
          <w:color w:val="000000" w:themeColor="text1"/>
          <w:sz w:val="32"/>
          <w:szCs w:val="32"/>
          <w:lang w:val="zh-CN"/>
          <w14:textFill>
            <w14:solidFill>
              <w14:schemeClr w14:val="tx1"/>
            </w14:solidFill>
          </w14:textFill>
        </w:rPr>
        <w:t>6.19万元,较上年决算数增加5.0万元,增长420.68%,主要原因</w:t>
      </w:r>
      <w:r>
        <w:rPr>
          <w:rFonts w:hint="eastAsia" w:ascii="仿宋" w:hAnsi="仿宋" w:eastAsia="仿宋" w:cs="仿宋"/>
          <w:color w:val="000000" w:themeColor="text1"/>
          <w:sz w:val="32"/>
          <w:szCs w:val="32"/>
          <w:lang w:val="en-US" w:eastAsia="zh-CN"/>
          <w14:textFill>
            <w14:solidFill>
              <w14:schemeClr w14:val="tx1"/>
            </w14:solidFill>
          </w14:textFill>
        </w:rPr>
        <w:t>2023年支出2022年办公费</w:t>
      </w:r>
      <w:r>
        <w:rPr>
          <w:rFonts w:hint="eastAsia" w:ascii="仿宋" w:hAnsi="仿宋" w:eastAsia="仿宋" w:cs="仿宋"/>
          <w:color w:val="000000" w:themeColor="text1"/>
          <w:sz w:val="32"/>
          <w:szCs w:val="32"/>
          <w:lang w:val="zh-CN"/>
          <w14:textFill>
            <w14:solidFill>
              <w14:schemeClr w14:val="tx1"/>
            </w14:solidFill>
          </w14:textFill>
        </w:rPr>
        <w:t>。公用经费用途主要包括.办公费、印刷费、咨询费、手续费，维修费、电费、水费、工会经费、取暖费。</w:t>
      </w:r>
    </w:p>
    <w:p w14:paraId="6BF6A5C8">
      <w:pPr>
        <w:spacing w:before="100" w:beforeLines="0" w:after="100" w:afterLines="0"/>
        <w:jc w:val="left"/>
        <w:rPr>
          <w:rFonts w:hint="eastAsia" w:ascii="仿宋" w:hAnsi="仿宋" w:eastAsia="仿宋" w:cs="仿宋"/>
          <w:b/>
          <w:bCs/>
          <w:color w:val="000000" w:themeColor="text1"/>
          <w:sz w:val="32"/>
          <w:szCs w:val="32"/>
          <w:lang w:val="zh-CN" w:eastAsia="zh-CN"/>
          <w14:textFill>
            <w14:solidFill>
              <w14:schemeClr w14:val="tx1"/>
            </w14:solidFill>
          </w14:textFill>
        </w:rPr>
      </w:pPr>
      <w:r>
        <w:rPr>
          <w:rFonts w:hint="eastAsia" w:ascii="仿宋" w:hAnsi="仿宋" w:eastAsia="仿宋" w:cs="仿宋"/>
          <w:b/>
          <w:bCs/>
          <w:color w:val="000000" w:themeColor="text1"/>
          <w:sz w:val="32"/>
          <w:szCs w:val="32"/>
          <w:lang w:val="zh-CN" w:eastAsia="zh-CN"/>
          <w14:textFill>
            <w14:solidFill>
              <w14:schemeClr w14:val="tx1"/>
            </w14:solidFill>
          </w14:textFill>
        </w:rPr>
        <w:t>七、政府性基金预算财政拨款收支决算情况说明</w:t>
      </w:r>
    </w:p>
    <w:p w14:paraId="74B58923">
      <w:pPr>
        <w:spacing w:before="100" w:beforeLines="0" w:after="100" w:afterLines="0"/>
        <w:ind w:firstLine="640"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本部门2023年度无政府性基金收入,也没有使用政府性基金安排的支出</w:t>
      </w:r>
    </w:p>
    <w:p w14:paraId="089B0782">
      <w:pPr>
        <w:spacing w:before="100" w:beforeLines="0" w:after="100" w:afterLines="0"/>
        <w:jc w:val="left"/>
        <w:rPr>
          <w:rFonts w:hint="eastAsia" w:ascii="仿宋" w:hAnsi="仿宋" w:eastAsia="仿宋" w:cs="仿宋"/>
          <w:b/>
          <w:bCs/>
          <w:color w:val="000000" w:themeColor="text1"/>
          <w:sz w:val="32"/>
          <w:szCs w:val="32"/>
          <w:lang w:val="zh-CN" w:eastAsia="zh-CN"/>
          <w14:textFill>
            <w14:solidFill>
              <w14:schemeClr w14:val="tx1"/>
            </w14:solidFill>
          </w14:textFill>
        </w:rPr>
      </w:pPr>
      <w:r>
        <w:rPr>
          <w:rFonts w:hint="eastAsia" w:ascii="仿宋" w:hAnsi="仿宋" w:eastAsia="仿宋" w:cs="仿宋"/>
          <w:b/>
          <w:bCs/>
          <w:color w:val="000000" w:themeColor="text1"/>
          <w:sz w:val="32"/>
          <w:szCs w:val="32"/>
          <w:lang w:val="zh-CN" w:eastAsia="zh-CN"/>
          <w14:textFill>
            <w14:solidFill>
              <w14:schemeClr w14:val="tx1"/>
            </w14:solidFill>
          </w14:textFill>
        </w:rPr>
        <w:t>八、国有资本经营预算财政拨款支出情况说明</w:t>
      </w:r>
    </w:p>
    <w:p w14:paraId="7FC455E2">
      <w:pPr>
        <w:spacing w:before="100" w:beforeLines="0" w:after="100" w:afterLines="0"/>
        <w:ind w:firstLine="640"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部分单位无国有资本经营预算财政拨款。</w:t>
      </w:r>
    </w:p>
    <w:p w14:paraId="577D2100">
      <w:pPr>
        <w:spacing w:before="100" w:beforeLines="0" w:after="100" w:afterLines="0"/>
        <w:jc w:val="left"/>
        <w:rPr>
          <w:rFonts w:hint="eastAsia" w:ascii="仿宋" w:hAnsi="仿宋" w:eastAsia="仿宋" w:cs="仿宋"/>
          <w:b/>
          <w:bCs/>
          <w:color w:val="000000" w:themeColor="text1"/>
          <w:sz w:val="32"/>
          <w:szCs w:val="32"/>
          <w:lang w:val="zh-CN" w:eastAsia="zh-CN"/>
          <w14:textFill>
            <w14:solidFill>
              <w14:schemeClr w14:val="tx1"/>
            </w14:solidFill>
          </w14:textFill>
        </w:rPr>
      </w:pPr>
      <w:r>
        <w:rPr>
          <w:rFonts w:hint="eastAsia" w:ascii="仿宋" w:hAnsi="仿宋" w:eastAsia="仿宋" w:cs="仿宋"/>
          <w:b/>
          <w:bCs/>
          <w:color w:val="000000" w:themeColor="text1"/>
          <w:sz w:val="32"/>
          <w:szCs w:val="32"/>
          <w:lang w:val="en-US" w:eastAsia="zh-CN"/>
          <w14:textFill>
            <w14:solidFill>
              <w14:schemeClr w14:val="tx1"/>
            </w14:solidFill>
          </w14:textFill>
        </w:rPr>
        <w:t>九</w:t>
      </w:r>
      <w:r>
        <w:rPr>
          <w:rFonts w:hint="eastAsia" w:ascii="仿宋" w:hAnsi="仿宋" w:eastAsia="仿宋" w:cs="仿宋"/>
          <w:b/>
          <w:bCs/>
          <w:color w:val="000000" w:themeColor="text1"/>
          <w:sz w:val="32"/>
          <w:szCs w:val="32"/>
          <w:lang w:val="zh-CN" w:eastAsia="zh-CN"/>
          <w14:textFill>
            <w14:solidFill>
              <w14:schemeClr w14:val="tx1"/>
            </w14:solidFill>
          </w14:textFill>
        </w:rPr>
        <w:t>、财政拨款“三公”经费支出决算情况说明</w:t>
      </w:r>
    </w:p>
    <w:p w14:paraId="7408CA93">
      <w:pPr>
        <w:spacing w:before="100" w:beforeLines="0" w:after="100" w:afterLines="0"/>
        <w:ind w:firstLine="640"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我单位属于人社局二级事业单位,财政未保障我单位“三公”经费。</w:t>
      </w:r>
    </w:p>
    <w:p w14:paraId="66489556">
      <w:pPr>
        <w:spacing w:before="100" w:beforeLines="0" w:after="100" w:afterLines="0"/>
        <w:jc w:val="left"/>
        <w:rPr>
          <w:rFonts w:hint="eastAsia" w:ascii="仿宋" w:hAnsi="仿宋" w:eastAsia="仿宋" w:cs="仿宋"/>
          <w:b/>
          <w:bCs/>
          <w:color w:val="000000" w:themeColor="text1"/>
          <w:sz w:val="32"/>
          <w:szCs w:val="32"/>
          <w:lang w:val="zh-CN" w:eastAsia="zh-CN"/>
          <w14:textFill>
            <w14:solidFill>
              <w14:schemeClr w14:val="tx1"/>
            </w14:solidFill>
          </w14:textFill>
        </w:rPr>
      </w:pPr>
      <w:r>
        <w:rPr>
          <w:rFonts w:hint="eastAsia" w:ascii="仿宋" w:hAnsi="仿宋" w:eastAsia="仿宋" w:cs="仿宋"/>
          <w:b/>
          <w:bCs/>
          <w:color w:val="000000" w:themeColor="text1"/>
          <w:sz w:val="32"/>
          <w:szCs w:val="32"/>
          <w:lang w:val="en-US" w:eastAsia="zh-CN"/>
          <w14:textFill>
            <w14:solidFill>
              <w14:schemeClr w14:val="tx1"/>
            </w14:solidFill>
          </w14:textFill>
        </w:rPr>
        <w:t>十</w:t>
      </w:r>
      <w:r>
        <w:rPr>
          <w:rFonts w:hint="eastAsia" w:ascii="仿宋" w:hAnsi="仿宋" w:eastAsia="仿宋" w:cs="仿宋"/>
          <w:b/>
          <w:bCs/>
          <w:color w:val="000000" w:themeColor="text1"/>
          <w:sz w:val="32"/>
          <w:szCs w:val="32"/>
          <w:lang w:val="zh-CN" w:eastAsia="zh-CN"/>
          <w14:textFill>
            <w14:solidFill>
              <w14:schemeClr w14:val="tx1"/>
            </w14:solidFill>
          </w14:textFill>
        </w:rPr>
        <w:t>、机关运行经费支出情况说明</w:t>
      </w:r>
    </w:p>
    <w:p w14:paraId="197D516E">
      <w:pPr>
        <w:spacing w:before="100" w:beforeLines="0" w:after="100" w:afterLines="0"/>
        <w:ind w:firstLine="640"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我单位2023年度无机关运行相关经费</w:t>
      </w:r>
    </w:p>
    <w:p w14:paraId="079B90DE">
      <w:pPr>
        <w:spacing w:before="100" w:beforeLines="0" w:after="100" w:afterLines="0"/>
        <w:jc w:val="left"/>
        <w:rPr>
          <w:rFonts w:hint="eastAsia" w:ascii="仿宋" w:hAnsi="仿宋" w:eastAsia="仿宋" w:cs="仿宋"/>
          <w:b/>
          <w:bCs/>
          <w:color w:val="000000" w:themeColor="text1"/>
          <w:sz w:val="32"/>
          <w:szCs w:val="32"/>
          <w:lang w:val="zh-CN" w:eastAsia="zh-CN"/>
          <w14:textFill>
            <w14:solidFill>
              <w14:schemeClr w14:val="tx1"/>
            </w14:solidFill>
          </w14:textFill>
        </w:rPr>
      </w:pPr>
      <w:r>
        <w:rPr>
          <w:rFonts w:hint="eastAsia" w:ascii="仿宋" w:hAnsi="仿宋" w:eastAsia="仿宋" w:cs="仿宋"/>
          <w:b/>
          <w:bCs/>
          <w:color w:val="000000" w:themeColor="text1"/>
          <w:sz w:val="32"/>
          <w:szCs w:val="32"/>
          <w:lang w:val="zh-CN" w:eastAsia="zh-CN"/>
          <w14:textFill>
            <w14:solidFill>
              <w14:schemeClr w14:val="tx1"/>
            </w14:solidFill>
          </w14:textFill>
        </w:rPr>
        <w:t>十一、政府采购支出情况说明</w:t>
      </w:r>
    </w:p>
    <w:p w14:paraId="09F8B29B">
      <w:pPr>
        <w:spacing w:before="100" w:beforeLines="0" w:after="100" w:afterLines="0"/>
        <w:ind w:firstLine="640"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2023年度本部门政府采购支出合计</w:t>
      </w:r>
      <w:r>
        <w:rPr>
          <w:rFonts w:hint="eastAsia" w:ascii="仿宋" w:hAnsi="仿宋" w:eastAsia="仿宋" w:cs="仿宋"/>
          <w:color w:val="000000" w:themeColor="text1"/>
          <w:sz w:val="32"/>
          <w:szCs w:val="32"/>
          <w:lang w:val="en-US" w:eastAsia="zh-CN"/>
          <w14:textFill>
            <w14:solidFill>
              <w14:schemeClr w14:val="tx1"/>
            </w14:solidFill>
          </w14:textFill>
        </w:rPr>
        <w:t>1.23</w:t>
      </w:r>
      <w:r>
        <w:rPr>
          <w:rFonts w:hint="eastAsia" w:ascii="仿宋" w:hAnsi="仿宋" w:eastAsia="仿宋" w:cs="仿宋"/>
          <w:color w:val="000000" w:themeColor="text1"/>
          <w:sz w:val="32"/>
          <w:szCs w:val="32"/>
          <w:lang w:val="zh-CN"/>
          <w14:textFill>
            <w14:solidFill>
              <w14:schemeClr w14:val="tx1"/>
            </w14:solidFill>
          </w14:textFill>
        </w:rPr>
        <w:t>万元,其中：政府采购货物支出</w:t>
      </w:r>
      <w:r>
        <w:rPr>
          <w:rFonts w:hint="eastAsia" w:ascii="仿宋" w:hAnsi="仿宋" w:eastAsia="仿宋" w:cs="仿宋"/>
          <w:color w:val="000000" w:themeColor="text1"/>
          <w:sz w:val="32"/>
          <w:szCs w:val="32"/>
          <w:lang w:val="en-US" w:eastAsia="zh-CN"/>
          <w14:textFill>
            <w14:solidFill>
              <w14:schemeClr w14:val="tx1"/>
            </w14:solidFill>
          </w14:textFill>
        </w:rPr>
        <w:t>0.93</w:t>
      </w:r>
      <w:r>
        <w:rPr>
          <w:rFonts w:hint="eastAsia" w:ascii="仿宋" w:hAnsi="仿宋" w:eastAsia="仿宋" w:cs="仿宋"/>
          <w:color w:val="000000" w:themeColor="text1"/>
          <w:sz w:val="32"/>
          <w:szCs w:val="32"/>
          <w:lang w:val="zh-CN"/>
          <w14:textFill>
            <w14:solidFill>
              <w14:schemeClr w14:val="tx1"/>
            </w14:solidFill>
          </w14:textFill>
        </w:rPr>
        <w:t>万元、政府采购服务支出</w:t>
      </w:r>
      <w:r>
        <w:rPr>
          <w:rFonts w:hint="eastAsia" w:ascii="仿宋" w:hAnsi="仿宋" w:eastAsia="仿宋" w:cs="仿宋"/>
          <w:color w:val="000000" w:themeColor="text1"/>
          <w:sz w:val="32"/>
          <w:szCs w:val="32"/>
          <w:lang w:val="en-US" w:eastAsia="zh-CN"/>
          <w14:textFill>
            <w14:solidFill>
              <w14:schemeClr w14:val="tx1"/>
            </w14:solidFill>
          </w14:textFill>
        </w:rPr>
        <w:t>0.3</w:t>
      </w:r>
      <w:r>
        <w:rPr>
          <w:rFonts w:hint="eastAsia" w:ascii="仿宋" w:hAnsi="仿宋" w:eastAsia="仿宋" w:cs="仿宋"/>
          <w:color w:val="000000" w:themeColor="text1"/>
          <w:sz w:val="32"/>
          <w:szCs w:val="32"/>
          <w:lang w:val="zh-CN"/>
          <w14:textFill>
            <w14:solidFill>
              <w14:schemeClr w14:val="tx1"/>
            </w14:solidFill>
          </w14:textFill>
        </w:rPr>
        <w:t>万元。</w:t>
      </w:r>
    </w:p>
    <w:p w14:paraId="177431E0">
      <w:pPr>
        <w:spacing w:before="100" w:beforeLines="0" w:after="100" w:afterLines="0"/>
        <w:jc w:val="left"/>
        <w:rPr>
          <w:rFonts w:hint="eastAsia" w:ascii="仿宋" w:hAnsi="仿宋" w:eastAsia="仿宋" w:cs="仿宋"/>
          <w:b/>
          <w:bCs/>
          <w:color w:val="000000" w:themeColor="text1"/>
          <w:sz w:val="32"/>
          <w:szCs w:val="32"/>
          <w:lang w:val="zh-CN" w:eastAsia="zh-CN"/>
          <w14:textFill>
            <w14:solidFill>
              <w14:schemeClr w14:val="tx1"/>
            </w14:solidFill>
          </w14:textFill>
        </w:rPr>
      </w:pPr>
      <w:r>
        <w:rPr>
          <w:rFonts w:hint="eastAsia" w:ascii="仿宋" w:hAnsi="仿宋" w:eastAsia="仿宋" w:cs="仿宋"/>
          <w:b/>
          <w:bCs/>
          <w:color w:val="000000" w:themeColor="text1"/>
          <w:sz w:val="32"/>
          <w:szCs w:val="32"/>
          <w:lang w:val="en-US" w:eastAsia="zh-CN"/>
          <w14:textFill>
            <w14:solidFill>
              <w14:schemeClr w14:val="tx1"/>
            </w14:solidFill>
          </w14:textFill>
        </w:rPr>
        <w:t>十二</w:t>
      </w:r>
      <w:r>
        <w:rPr>
          <w:rFonts w:hint="eastAsia" w:ascii="仿宋" w:hAnsi="仿宋" w:eastAsia="仿宋" w:cs="仿宋"/>
          <w:b/>
          <w:bCs/>
          <w:color w:val="000000" w:themeColor="text1"/>
          <w:sz w:val="32"/>
          <w:szCs w:val="32"/>
          <w:lang w:val="zh-CN" w:eastAsia="zh-CN"/>
          <w14:textFill>
            <w14:solidFill>
              <w14:schemeClr w14:val="tx1"/>
            </w14:solidFill>
          </w14:textFill>
        </w:rPr>
        <w:t>、国有资产占用情况说明</w:t>
      </w:r>
    </w:p>
    <w:p w14:paraId="083B819F">
      <w:pPr>
        <w:spacing w:before="100" w:beforeLines="0" w:after="100" w:afterLines="0"/>
        <w:ind w:firstLine="640"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截至2023年12月31日,本部门共有车辆0辆,其中,副部(省)级及以上领导用车0辆、主要领导干部用车0辆、机要通信用车0辆、应急保障用车0辆、执法执勤用车0辆,特种专业技术用车0辆,离退休干部用车0辆,其他用车0辆。</w:t>
      </w:r>
    </w:p>
    <w:p w14:paraId="460518ED">
      <w:pPr>
        <w:spacing w:before="100" w:beforeLines="0" w:after="100" w:afterLines="0"/>
        <w:jc w:val="left"/>
        <w:rPr>
          <w:rFonts w:hint="eastAsia" w:ascii="仿宋" w:hAnsi="仿宋" w:eastAsia="仿宋" w:cs="仿宋"/>
          <w:b/>
          <w:bCs/>
          <w:color w:val="000000" w:themeColor="text1"/>
          <w:sz w:val="32"/>
          <w:szCs w:val="32"/>
          <w:lang w:val="zh-CN" w:eastAsia="zh-CN"/>
          <w14:textFill>
            <w14:solidFill>
              <w14:schemeClr w14:val="tx1"/>
            </w14:solidFill>
          </w14:textFill>
        </w:rPr>
      </w:pPr>
      <w:r>
        <w:rPr>
          <w:rFonts w:hint="eastAsia" w:ascii="仿宋" w:hAnsi="仿宋" w:eastAsia="仿宋" w:cs="仿宋"/>
          <w:b/>
          <w:bCs/>
          <w:color w:val="000000" w:themeColor="text1"/>
          <w:sz w:val="32"/>
          <w:szCs w:val="32"/>
          <w:lang w:val="zh-CN" w:eastAsia="zh-CN"/>
          <w14:textFill>
            <w14:solidFill>
              <w14:schemeClr w14:val="tx1"/>
            </w14:solidFill>
          </w14:textFill>
        </w:rPr>
        <w:t>十三、其他需要说明的情况</w:t>
      </w:r>
    </w:p>
    <w:p w14:paraId="0B5F4FE1">
      <w:pPr>
        <w:spacing w:before="100" w:beforeLines="0" w:after="100" w:afterLines="0"/>
        <w:ind w:firstLine="640" w:firstLineChars="200"/>
        <w:jc w:val="left"/>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由于决算公开表格中金额数值应当保留两位小数，公开数据为四舍五入计算结果，个别数据合计项与分项之和存在小数点后差额，特此说明。</w:t>
      </w:r>
    </w:p>
    <w:p w14:paraId="6ACFCBC4">
      <w:pPr>
        <w:spacing w:before="100" w:beforeLines="0" w:after="100" w:afterLines="0"/>
        <w:jc w:val="left"/>
        <w:rPr>
          <w:rFonts w:hint="eastAsia" w:ascii="仿宋" w:hAnsi="仿宋" w:eastAsia="仿宋" w:cs="仿宋"/>
          <w:color w:val="000000" w:themeColor="text1"/>
          <w:sz w:val="32"/>
          <w:szCs w:val="32"/>
          <w:lang w:val="zh-CN"/>
          <w14:textFill>
            <w14:solidFill>
              <w14:schemeClr w14:val="tx1"/>
            </w14:solidFill>
          </w14:textFill>
        </w:rPr>
      </w:pPr>
    </w:p>
    <w:p w14:paraId="46F3D72E">
      <w:pPr>
        <w:spacing w:before="100" w:beforeLines="0" w:after="100" w:afterLines="0"/>
        <w:ind w:firstLine="1928" w:firstLineChars="600"/>
        <w:jc w:val="both"/>
        <w:rPr>
          <w:rFonts w:hint="eastAsia" w:ascii="仿宋" w:hAnsi="仿宋" w:eastAsia="仿宋" w:cs="仿宋"/>
          <w:b/>
          <w:bCs/>
          <w:color w:val="000000" w:themeColor="text1"/>
          <w:sz w:val="32"/>
          <w:szCs w:val="32"/>
          <w:lang w:val="zh-CN" w:eastAsia="zh-CN"/>
          <w14:textFill>
            <w14:solidFill>
              <w14:schemeClr w14:val="tx1"/>
            </w14:solidFill>
          </w14:textFill>
        </w:rPr>
      </w:pPr>
      <w:r>
        <w:rPr>
          <w:rFonts w:hint="eastAsia" w:ascii="仿宋" w:hAnsi="仿宋" w:eastAsia="仿宋" w:cs="仿宋"/>
          <w:b/>
          <w:bCs/>
          <w:color w:val="000000" w:themeColor="text1"/>
          <w:sz w:val="32"/>
          <w:szCs w:val="32"/>
          <w:lang w:val="zh-CN" w:eastAsia="zh-CN"/>
          <w14:textFill>
            <w14:solidFill>
              <w14:schemeClr w14:val="tx1"/>
            </w14:solidFill>
          </w14:textFill>
        </w:rPr>
        <w:t>第四部分</w:t>
      </w:r>
      <w:r>
        <w:rPr>
          <w:rFonts w:hint="eastAsia" w:ascii="仿宋" w:hAnsi="仿宋" w:eastAsia="仿宋" w:cs="仿宋"/>
          <w:b/>
          <w:bCs/>
          <w:color w:val="000000" w:themeColor="text1"/>
          <w:sz w:val="32"/>
          <w:szCs w:val="32"/>
          <w:lang w:val="en-US" w:eastAsia="zh-CN"/>
          <w14:textFill>
            <w14:solidFill>
              <w14:schemeClr w14:val="tx1"/>
            </w14:solidFill>
          </w14:textFill>
        </w:rPr>
        <w:t xml:space="preserve">  </w:t>
      </w:r>
      <w:r>
        <w:rPr>
          <w:rFonts w:hint="eastAsia" w:ascii="仿宋" w:hAnsi="仿宋" w:eastAsia="仿宋" w:cs="仿宋"/>
          <w:b/>
          <w:bCs/>
          <w:color w:val="000000" w:themeColor="text1"/>
          <w:sz w:val="32"/>
          <w:szCs w:val="32"/>
          <w:lang w:val="zh-CN" w:eastAsia="zh-CN"/>
          <w14:textFill>
            <w14:solidFill>
              <w14:schemeClr w14:val="tx1"/>
            </w14:solidFill>
          </w14:textFill>
        </w:rPr>
        <w:t>预算绩效情况说明</w:t>
      </w:r>
    </w:p>
    <w:p w14:paraId="25F6213A">
      <w:pPr>
        <w:spacing w:before="100" w:beforeLines="0" w:after="100" w:afterLines="0"/>
        <w:jc w:val="left"/>
        <w:rPr>
          <w:rFonts w:hint="eastAsia" w:ascii="仿宋" w:hAnsi="仿宋" w:eastAsia="仿宋" w:cs="仿宋"/>
          <w:b/>
          <w:bCs/>
          <w:color w:val="000000" w:themeColor="text1"/>
          <w:sz w:val="32"/>
          <w:szCs w:val="32"/>
          <w:lang w:val="zh-CN" w:eastAsia="zh-CN"/>
          <w14:textFill>
            <w14:solidFill>
              <w14:schemeClr w14:val="tx1"/>
            </w14:solidFill>
          </w14:textFill>
        </w:rPr>
      </w:pPr>
      <w:r>
        <w:rPr>
          <w:rFonts w:hint="eastAsia" w:ascii="仿宋" w:hAnsi="仿宋" w:eastAsia="仿宋" w:cs="仿宋"/>
          <w:b/>
          <w:bCs/>
          <w:color w:val="000000" w:themeColor="text1"/>
          <w:sz w:val="32"/>
          <w:szCs w:val="32"/>
          <w:lang w:val="zh-CN" w:eastAsia="zh-CN"/>
          <w14:textFill>
            <w14:solidFill>
              <w14:schemeClr w14:val="tx1"/>
            </w14:solidFill>
          </w14:textFill>
        </w:rPr>
        <w:t>一、预算绩效管理工作开展情况</w:t>
      </w:r>
    </w:p>
    <w:p w14:paraId="16A8A235">
      <w:pPr>
        <w:keepNext/>
        <w:keepLines/>
        <w:pageBreakBefore w:val="0"/>
        <w:widowControl/>
        <w:suppressLineNumbers/>
        <w:kinsoku/>
        <w:wordWrap/>
        <w:overflowPunct/>
        <w:topLinePunct w:val="0"/>
        <w:autoSpaceDE/>
        <w:autoSpaceDN/>
        <w:bidi w:val="0"/>
        <w:adjustRightInd/>
        <w:spacing w:beforeLines="0" w:afterLines="0"/>
        <w:ind w:firstLine="600" w:firstLineChars="200"/>
        <w:jc w:val="left"/>
        <w:textAlignment w:val="auto"/>
        <w:rPr>
          <w:rFonts w:hint="eastAsia" w:ascii="仿宋" w:hAnsi="仿宋" w:eastAsia="仿宋" w:cs="仿宋"/>
          <w:color w:val="000000" w:themeColor="text1"/>
          <w:kern w:val="0"/>
          <w:sz w:val="30"/>
          <w:szCs w:val="30"/>
          <w:lang w:val="en-US" w:eastAsia="zh-CN"/>
          <w14:textFill>
            <w14:solidFill>
              <w14:schemeClr w14:val="tx1"/>
            </w14:solidFill>
          </w14:textFill>
        </w:rPr>
      </w:pPr>
      <w:r>
        <w:rPr>
          <w:rFonts w:hint="eastAsia" w:ascii="仿宋" w:hAnsi="仿宋" w:eastAsia="仿宋" w:cs="仿宋"/>
          <w:color w:val="000000" w:themeColor="text1"/>
          <w:kern w:val="0"/>
          <w:sz w:val="30"/>
          <w:szCs w:val="30"/>
          <w:lang w:val="en-US"/>
          <w14:textFill>
            <w14:solidFill>
              <w14:schemeClr w14:val="tx1"/>
            </w14:solidFill>
          </w14:textFill>
        </w:rPr>
        <w:t>根据预算绩效管理要求,本部门对202</w:t>
      </w:r>
      <w:r>
        <w:rPr>
          <w:rFonts w:hint="eastAsia" w:ascii="仿宋" w:hAnsi="仿宋" w:eastAsia="仿宋" w:cs="仿宋"/>
          <w:color w:val="000000" w:themeColor="text1"/>
          <w:kern w:val="0"/>
          <w:sz w:val="30"/>
          <w:szCs w:val="30"/>
          <w:lang w:val="en-US" w:eastAsia="zh-CN"/>
          <w14:textFill>
            <w14:solidFill>
              <w14:schemeClr w14:val="tx1"/>
            </w14:solidFill>
          </w14:textFill>
        </w:rPr>
        <w:t>3</w:t>
      </w:r>
      <w:r>
        <w:rPr>
          <w:rFonts w:hint="eastAsia" w:ascii="仿宋" w:hAnsi="仿宋" w:eastAsia="仿宋" w:cs="仿宋"/>
          <w:color w:val="000000" w:themeColor="text1"/>
          <w:kern w:val="0"/>
          <w:sz w:val="30"/>
          <w:szCs w:val="30"/>
          <w:lang w:val="en-US"/>
          <w14:textFill>
            <w14:solidFill>
              <w14:schemeClr w14:val="tx1"/>
            </w14:solidFill>
          </w14:textFill>
        </w:rPr>
        <w:t>年度一般公共预算项目支出全面开展绩效自评,</w:t>
      </w:r>
      <w:r>
        <w:rPr>
          <w:rFonts w:hint="eastAsia" w:ascii="仿宋" w:hAnsi="仿宋" w:eastAsia="仿宋" w:cs="仿宋"/>
          <w:color w:val="000000" w:themeColor="text1"/>
          <w:kern w:val="0"/>
          <w:sz w:val="30"/>
          <w:szCs w:val="30"/>
          <w:lang w:val="en-US" w:eastAsia="zh-CN"/>
          <w14:textFill>
            <w14:solidFill>
              <w14:schemeClr w14:val="tx1"/>
            </w14:solidFill>
          </w14:textFill>
        </w:rPr>
        <w:t>我单位2023年支出</w:t>
      </w:r>
      <w:r>
        <w:rPr>
          <w:rFonts w:hint="eastAsia" w:ascii="仿宋" w:hAnsi="仿宋" w:eastAsia="仿宋" w:cs="仿宋"/>
          <w:color w:val="000000" w:themeColor="text1"/>
          <w:sz w:val="32"/>
          <w:szCs w:val="32"/>
          <w:lang w:val="zh-CN"/>
          <w14:textFill>
            <w14:solidFill>
              <w14:schemeClr w14:val="tx1"/>
            </w14:solidFill>
          </w14:textFill>
        </w:rPr>
        <w:t>695.20</w:t>
      </w:r>
      <w:r>
        <w:rPr>
          <w:rFonts w:hint="eastAsia" w:ascii="仿宋" w:hAnsi="仿宋" w:eastAsia="仿宋" w:cs="仿宋"/>
          <w:color w:val="000000" w:themeColor="text1"/>
          <w:sz w:val="30"/>
          <w:szCs w:val="30"/>
          <w:lang w:val="zh-CN"/>
          <w14:textFill>
            <w14:solidFill>
              <w14:schemeClr w14:val="tx1"/>
            </w14:solidFill>
          </w14:textFill>
        </w:rPr>
        <w:t>万元</w:t>
      </w:r>
      <w:r>
        <w:rPr>
          <w:rFonts w:hint="eastAsia" w:ascii="仿宋" w:hAnsi="仿宋" w:eastAsia="仿宋" w:cs="仿宋"/>
          <w:color w:val="000000" w:themeColor="text1"/>
          <w:kern w:val="0"/>
          <w:sz w:val="30"/>
          <w:szCs w:val="30"/>
          <w:lang w:val="en-US" w:eastAsia="zh-CN"/>
          <w14:textFill>
            <w14:solidFill>
              <w14:schemeClr w14:val="tx1"/>
            </w14:solidFill>
          </w14:textFill>
        </w:rPr>
        <w:t>，其中基本支出</w:t>
      </w:r>
      <w:r>
        <w:rPr>
          <w:rFonts w:hint="eastAsia" w:ascii="仿宋" w:hAnsi="仿宋" w:eastAsia="仿宋" w:cs="仿宋"/>
          <w:color w:val="000000" w:themeColor="text1"/>
          <w:sz w:val="32"/>
          <w:szCs w:val="32"/>
          <w:lang w:val="zh-CN"/>
          <w14:textFill>
            <w14:solidFill>
              <w14:schemeClr w14:val="tx1"/>
            </w14:solidFill>
          </w14:textFill>
        </w:rPr>
        <w:t>695.20</w:t>
      </w:r>
      <w:r>
        <w:rPr>
          <w:rFonts w:hint="eastAsia" w:ascii="仿宋" w:hAnsi="仿宋" w:eastAsia="仿宋" w:cs="仿宋"/>
          <w:color w:val="000000" w:themeColor="text1"/>
          <w:sz w:val="30"/>
          <w:szCs w:val="30"/>
          <w:lang w:val="zh-CN"/>
          <w14:textFill>
            <w14:solidFill>
              <w14:schemeClr w14:val="tx1"/>
            </w14:solidFill>
          </w14:textFill>
        </w:rPr>
        <w:t>万元</w:t>
      </w:r>
      <w:r>
        <w:rPr>
          <w:rFonts w:hint="eastAsia" w:ascii="仿宋" w:hAnsi="仿宋" w:eastAsia="仿宋" w:cs="仿宋"/>
          <w:color w:val="000000" w:themeColor="text1"/>
          <w:kern w:val="0"/>
          <w:sz w:val="30"/>
          <w:szCs w:val="30"/>
          <w:lang w:val="en-US" w:eastAsia="zh-CN"/>
          <w14:textFill>
            <w14:solidFill>
              <w14:schemeClr w14:val="tx1"/>
            </w14:solidFill>
          </w14:textFill>
        </w:rPr>
        <w:t>。从评价情况来看我单位全面完成设定目标值，较好的完成了各项目实施，保障了部门工作高效高质量运行。</w:t>
      </w:r>
    </w:p>
    <w:p w14:paraId="6C66D7AF">
      <w:pPr>
        <w:numPr>
          <w:ilvl w:val="0"/>
          <w:numId w:val="1"/>
        </w:numPr>
        <w:spacing w:before="100" w:beforeLines="0" w:after="100" w:afterLines="0"/>
        <w:ind w:left="0" w:leftChars="0" w:firstLine="0" w:firstLineChars="0"/>
        <w:jc w:val="left"/>
        <w:rPr>
          <w:rFonts w:hint="eastAsia" w:ascii="仿宋" w:hAnsi="仿宋" w:eastAsia="仿宋" w:cs="仿宋"/>
          <w:b/>
          <w:bCs/>
          <w:color w:val="000000" w:themeColor="text1"/>
          <w:sz w:val="32"/>
          <w:szCs w:val="32"/>
          <w:lang w:val="zh-CN" w:eastAsia="zh-CN"/>
          <w14:textFill>
            <w14:solidFill>
              <w14:schemeClr w14:val="tx1"/>
            </w14:solidFill>
          </w14:textFill>
        </w:rPr>
      </w:pPr>
      <w:r>
        <w:rPr>
          <w:rFonts w:hint="eastAsia" w:ascii="仿宋" w:hAnsi="仿宋" w:eastAsia="仿宋" w:cs="仿宋"/>
          <w:b/>
          <w:bCs/>
          <w:color w:val="000000" w:themeColor="text1"/>
          <w:sz w:val="32"/>
          <w:szCs w:val="32"/>
          <w:lang w:val="zh-CN" w:eastAsia="zh-CN"/>
          <w14:textFill>
            <w14:solidFill>
              <w14:schemeClr w14:val="tx1"/>
            </w14:solidFill>
          </w14:textFill>
        </w:rPr>
        <w:t>绩效自评结果</w:t>
      </w:r>
    </w:p>
    <w:p w14:paraId="69FDAEE3">
      <w:pPr>
        <w:keepNext/>
        <w:keepLines/>
        <w:pageBreakBefore w:val="0"/>
        <w:widowControl/>
        <w:suppressLineNumbers/>
        <w:kinsoku/>
        <w:wordWrap/>
        <w:overflowPunct/>
        <w:topLinePunct w:val="0"/>
        <w:autoSpaceDE/>
        <w:autoSpaceDN/>
        <w:bidi w:val="0"/>
        <w:adjustRightInd/>
        <w:spacing w:beforeLines="0" w:afterLines="0"/>
        <w:ind w:firstLine="600" w:firstLineChars="200"/>
        <w:jc w:val="left"/>
        <w:textAlignment w:val="auto"/>
        <w:rPr>
          <w:rFonts w:hint="eastAsia" w:ascii="仿宋" w:hAnsi="仿宋" w:eastAsia="仿宋" w:cs="仿宋"/>
          <w:color w:val="000000" w:themeColor="text1"/>
          <w:kern w:val="0"/>
          <w:sz w:val="30"/>
          <w:szCs w:val="30"/>
          <w:lang w:val="zh-CN"/>
          <w14:textFill>
            <w14:solidFill>
              <w14:schemeClr w14:val="tx1"/>
            </w14:solidFill>
          </w14:textFill>
        </w:rPr>
      </w:pPr>
      <w:r>
        <w:rPr>
          <w:rFonts w:hint="eastAsia" w:ascii="仿宋" w:hAnsi="仿宋" w:eastAsia="仿宋" w:cs="仿宋"/>
          <w:color w:val="000000" w:themeColor="text1"/>
          <w:sz w:val="30"/>
          <w:szCs w:val="30"/>
          <w:lang w:val="zh-CN"/>
          <w14:textFill>
            <w14:solidFill>
              <w14:schemeClr w14:val="tx1"/>
            </w14:solidFill>
          </w14:textFill>
        </w:rPr>
        <w:t>1.绩效目标自评表</w:t>
      </w:r>
    </w:p>
    <w:p w14:paraId="4F562D9E">
      <w:pPr>
        <w:keepNext/>
        <w:keepLines/>
        <w:pageBreakBefore w:val="0"/>
        <w:widowControl/>
        <w:suppressLineNumbers/>
        <w:kinsoku/>
        <w:wordWrap/>
        <w:overflowPunct/>
        <w:topLinePunct w:val="0"/>
        <w:autoSpaceDE/>
        <w:autoSpaceDN/>
        <w:bidi w:val="0"/>
        <w:adjustRightInd/>
        <w:spacing w:beforeLines="0" w:afterLines="0"/>
        <w:ind w:firstLine="600" w:firstLineChars="200"/>
        <w:jc w:val="left"/>
        <w:textAlignment w:val="auto"/>
        <w:rPr>
          <w:rFonts w:hint="eastAsia" w:ascii="仿宋" w:hAnsi="仿宋" w:eastAsia="仿宋" w:cs="仿宋"/>
          <w:color w:val="000000" w:themeColor="text1"/>
          <w:kern w:val="0"/>
          <w:sz w:val="30"/>
          <w:szCs w:val="30"/>
          <w:lang w:val="zh-CN"/>
          <w14:textFill>
            <w14:solidFill>
              <w14:schemeClr w14:val="tx1"/>
            </w14:solidFill>
          </w14:textFill>
        </w:rPr>
      </w:pPr>
      <w:r>
        <w:rPr>
          <w:rFonts w:hint="eastAsia" w:ascii="仿宋" w:hAnsi="仿宋" w:eastAsia="仿宋" w:cs="仿宋"/>
          <w:color w:val="000000" w:themeColor="text1"/>
          <w:kern w:val="0"/>
          <w:sz w:val="30"/>
          <w:szCs w:val="30"/>
          <w:lang w:val="en-US"/>
          <w14:textFill>
            <w14:solidFill>
              <w14:schemeClr w14:val="tx1"/>
            </w14:solidFill>
          </w14:textFill>
        </w:rPr>
        <w:t>我部门在202</w:t>
      </w:r>
      <w:r>
        <w:rPr>
          <w:rFonts w:hint="eastAsia" w:ascii="仿宋" w:hAnsi="仿宋" w:eastAsia="仿宋" w:cs="仿宋"/>
          <w:color w:val="000000" w:themeColor="text1"/>
          <w:kern w:val="0"/>
          <w:sz w:val="30"/>
          <w:szCs w:val="30"/>
          <w:lang w:val="en-US" w:eastAsia="zh-CN"/>
          <w14:textFill>
            <w14:solidFill>
              <w14:schemeClr w14:val="tx1"/>
            </w14:solidFill>
          </w14:textFill>
        </w:rPr>
        <w:t>3</w:t>
      </w:r>
      <w:r>
        <w:rPr>
          <w:rFonts w:hint="eastAsia" w:ascii="仿宋" w:hAnsi="仿宋" w:eastAsia="仿宋" w:cs="仿宋"/>
          <w:color w:val="000000" w:themeColor="text1"/>
          <w:kern w:val="0"/>
          <w:sz w:val="30"/>
          <w:szCs w:val="30"/>
          <w:lang w:val="en-US"/>
          <w14:textFill>
            <w14:solidFill>
              <w14:schemeClr w14:val="tx1"/>
            </w14:solidFill>
          </w14:textFill>
        </w:rPr>
        <w:t>年度部门决算中反映</w:t>
      </w:r>
      <w:r>
        <w:rPr>
          <w:rFonts w:hint="eastAsia" w:ascii="仿宋" w:hAnsi="仿宋" w:eastAsia="仿宋" w:cs="仿宋"/>
          <w:color w:val="000000" w:themeColor="text1"/>
          <w:kern w:val="0"/>
          <w:sz w:val="30"/>
          <w:szCs w:val="30"/>
          <w:lang w:val="en-US" w:eastAsia="zh-CN"/>
          <w14:textFill>
            <w14:solidFill>
              <w14:schemeClr w14:val="tx1"/>
            </w14:solidFill>
          </w14:textFill>
        </w:rPr>
        <w:t>部门整体支出</w:t>
      </w:r>
      <w:r>
        <w:rPr>
          <w:rFonts w:hint="eastAsia" w:ascii="仿宋" w:hAnsi="仿宋" w:eastAsia="仿宋" w:cs="仿宋"/>
          <w:color w:val="000000" w:themeColor="text1"/>
          <w:kern w:val="0"/>
          <w:sz w:val="30"/>
          <w:szCs w:val="30"/>
          <w:lang w:val="en-US"/>
          <w14:textFill>
            <w14:solidFill>
              <w14:schemeClr w14:val="tx1"/>
            </w14:solidFill>
          </w14:textFill>
        </w:rPr>
        <w:t>绩效自评结果。</w:t>
      </w:r>
      <w:r>
        <w:rPr>
          <w:rFonts w:hint="eastAsia" w:ascii="仿宋" w:hAnsi="仿宋" w:eastAsia="仿宋" w:cs="仿宋"/>
          <w:color w:val="000000" w:themeColor="text1"/>
          <w:kern w:val="0"/>
          <w:sz w:val="30"/>
          <w:szCs w:val="30"/>
          <w:lang w:val="en-US" w:eastAsia="zh-CN"/>
          <w14:textFill>
            <w14:solidFill>
              <w14:schemeClr w14:val="tx1"/>
            </w14:solidFill>
          </w14:textFill>
        </w:rPr>
        <w:t>部门整体支出</w:t>
      </w:r>
      <w:r>
        <w:rPr>
          <w:rFonts w:hint="eastAsia" w:ascii="仿宋" w:hAnsi="仿宋" w:eastAsia="仿宋" w:cs="仿宋"/>
          <w:color w:val="000000" w:themeColor="text1"/>
          <w:kern w:val="0"/>
          <w:sz w:val="30"/>
          <w:szCs w:val="30"/>
          <w:lang w:val="en-US"/>
          <w14:textFill>
            <w14:solidFill>
              <w14:schemeClr w14:val="tx1"/>
            </w14:solidFill>
          </w14:textFill>
        </w:rPr>
        <w:t>绩效自评情况：根据年初设定的绩效目标,项目绩效自评得分为</w:t>
      </w:r>
      <w:r>
        <w:rPr>
          <w:rFonts w:hint="eastAsia" w:ascii="仿宋" w:hAnsi="仿宋" w:eastAsia="仿宋" w:cs="仿宋"/>
          <w:color w:val="000000" w:themeColor="text1"/>
          <w:kern w:val="0"/>
          <w:sz w:val="30"/>
          <w:szCs w:val="30"/>
          <w:lang w:val="en-US" w:eastAsia="zh-CN"/>
          <w14:textFill>
            <w14:solidFill>
              <w14:schemeClr w14:val="tx1"/>
            </w14:solidFill>
          </w14:textFill>
        </w:rPr>
        <w:t>98</w:t>
      </w:r>
      <w:r>
        <w:rPr>
          <w:rFonts w:hint="eastAsia" w:ascii="仿宋" w:hAnsi="仿宋" w:eastAsia="仿宋" w:cs="仿宋"/>
          <w:color w:val="000000" w:themeColor="text1"/>
          <w:kern w:val="0"/>
          <w:sz w:val="30"/>
          <w:szCs w:val="30"/>
          <w:lang w:val="en-US"/>
          <w14:textFill>
            <w14:solidFill>
              <w14:schemeClr w14:val="tx1"/>
            </w14:solidFill>
          </w14:textFill>
        </w:rPr>
        <w:t>分。项目全年预算数为</w:t>
      </w:r>
      <w:r>
        <w:rPr>
          <w:rFonts w:hint="eastAsia" w:ascii="仿宋" w:hAnsi="仿宋" w:eastAsia="仿宋" w:cs="仿宋"/>
          <w:color w:val="000000" w:themeColor="text1"/>
          <w:kern w:val="0"/>
          <w:sz w:val="30"/>
          <w:szCs w:val="30"/>
          <w:lang w:val="en-US" w:eastAsia="zh-CN"/>
          <w14:textFill>
            <w14:solidFill>
              <w14:schemeClr w14:val="tx1"/>
            </w14:solidFill>
          </w14:textFill>
        </w:rPr>
        <w:t>695.2</w:t>
      </w:r>
      <w:r>
        <w:rPr>
          <w:rFonts w:hint="eastAsia" w:ascii="仿宋" w:hAnsi="仿宋" w:eastAsia="仿宋" w:cs="仿宋"/>
          <w:color w:val="000000" w:themeColor="text1"/>
          <w:kern w:val="0"/>
          <w:sz w:val="30"/>
          <w:szCs w:val="30"/>
          <w:lang w:val="en-US"/>
          <w14:textFill>
            <w14:solidFill>
              <w14:schemeClr w14:val="tx1"/>
            </w14:solidFill>
          </w14:textFill>
        </w:rPr>
        <w:t>万元,执行数为</w:t>
      </w:r>
      <w:r>
        <w:rPr>
          <w:rFonts w:hint="eastAsia" w:ascii="仿宋" w:hAnsi="仿宋" w:eastAsia="仿宋" w:cs="仿宋"/>
          <w:color w:val="000000" w:themeColor="text1"/>
          <w:kern w:val="0"/>
          <w:sz w:val="30"/>
          <w:szCs w:val="30"/>
          <w:lang w:val="en-US" w:eastAsia="zh-CN"/>
          <w14:textFill>
            <w14:solidFill>
              <w14:schemeClr w14:val="tx1"/>
            </w14:solidFill>
          </w14:textFill>
        </w:rPr>
        <w:t>695.2</w:t>
      </w:r>
      <w:r>
        <w:rPr>
          <w:rFonts w:hint="eastAsia" w:ascii="仿宋" w:hAnsi="仿宋" w:eastAsia="仿宋" w:cs="仿宋"/>
          <w:color w:val="000000" w:themeColor="text1"/>
          <w:kern w:val="0"/>
          <w:sz w:val="30"/>
          <w:szCs w:val="30"/>
          <w:lang w:val="en-US"/>
          <w14:textFill>
            <w14:solidFill>
              <w14:schemeClr w14:val="tx1"/>
            </w14:solidFill>
          </w14:textFill>
        </w:rPr>
        <w:t>万元,完成预算的</w:t>
      </w:r>
      <w:r>
        <w:rPr>
          <w:rFonts w:hint="eastAsia" w:ascii="仿宋" w:hAnsi="仿宋" w:eastAsia="仿宋" w:cs="仿宋"/>
          <w:color w:val="000000" w:themeColor="text1"/>
          <w:kern w:val="0"/>
          <w:sz w:val="30"/>
          <w:szCs w:val="30"/>
          <w:lang w:val="en-US" w:eastAsia="zh-CN"/>
          <w14:textFill>
            <w14:solidFill>
              <w14:schemeClr w14:val="tx1"/>
            </w14:solidFill>
          </w14:textFill>
        </w:rPr>
        <w:t>100</w:t>
      </w:r>
      <w:r>
        <w:rPr>
          <w:rFonts w:hint="eastAsia" w:ascii="仿宋" w:hAnsi="仿宋" w:eastAsia="仿宋" w:cs="仿宋"/>
          <w:color w:val="000000" w:themeColor="text1"/>
          <w:kern w:val="0"/>
          <w:sz w:val="30"/>
          <w:szCs w:val="30"/>
          <w:lang w:val="en-US"/>
          <w14:textFill>
            <w14:solidFill>
              <w14:schemeClr w14:val="tx1"/>
            </w14:solidFill>
          </w14:textFill>
        </w:rPr>
        <w:t>%。项目绩效目标完成情况：项目</w:t>
      </w:r>
      <w:r>
        <w:rPr>
          <w:rFonts w:hint="eastAsia" w:ascii="仿宋" w:hAnsi="仿宋" w:eastAsia="仿宋" w:cs="仿宋"/>
          <w:color w:val="000000" w:themeColor="text1"/>
          <w:kern w:val="0"/>
          <w:sz w:val="30"/>
          <w:szCs w:val="30"/>
          <w:lang w:val="en-US" w:eastAsia="zh-CN"/>
          <w14:textFill>
            <w14:solidFill>
              <w14:schemeClr w14:val="tx1"/>
            </w14:solidFill>
          </w14:textFill>
        </w:rPr>
        <w:t>达到了年初总体目标，</w:t>
      </w:r>
      <w:r>
        <w:rPr>
          <w:rFonts w:hint="eastAsia" w:ascii="仿宋" w:hAnsi="仿宋" w:eastAsia="仿宋" w:cs="仿宋"/>
          <w:color w:val="000000" w:themeColor="text1"/>
          <w:kern w:val="0"/>
          <w:sz w:val="30"/>
          <w:szCs w:val="30"/>
          <w:lang w:val="en-US"/>
          <w14:textFill>
            <w14:solidFill>
              <w14:schemeClr w14:val="tx1"/>
            </w14:solidFill>
          </w14:textFill>
        </w:rPr>
        <w:t>合理安排</w:t>
      </w:r>
      <w:r>
        <w:rPr>
          <w:rFonts w:hint="eastAsia" w:ascii="仿宋" w:hAnsi="仿宋" w:eastAsia="仿宋" w:cs="仿宋"/>
          <w:color w:val="000000" w:themeColor="text1"/>
          <w:kern w:val="0"/>
          <w:sz w:val="30"/>
          <w:szCs w:val="30"/>
          <w:lang w:val="en-US" w:eastAsia="zh-CN"/>
          <w14:textFill>
            <w14:solidFill>
              <w14:schemeClr w14:val="tx1"/>
            </w14:solidFill>
          </w14:textFill>
        </w:rPr>
        <w:t>了</w:t>
      </w:r>
      <w:r>
        <w:rPr>
          <w:rFonts w:hint="eastAsia" w:ascii="仿宋" w:hAnsi="仿宋" w:eastAsia="仿宋" w:cs="仿宋"/>
          <w:color w:val="000000" w:themeColor="text1"/>
          <w:kern w:val="0"/>
          <w:sz w:val="30"/>
          <w:szCs w:val="30"/>
          <w:lang w:val="en-US"/>
          <w14:textFill>
            <w14:solidFill>
              <w14:schemeClr w14:val="tx1"/>
            </w14:solidFill>
          </w14:textFill>
        </w:rPr>
        <w:t>支出，保障部门工作正常运转，提高</w:t>
      </w:r>
      <w:r>
        <w:rPr>
          <w:rFonts w:hint="eastAsia" w:ascii="仿宋" w:hAnsi="仿宋" w:eastAsia="仿宋" w:cs="仿宋"/>
          <w:color w:val="000000" w:themeColor="text1"/>
          <w:kern w:val="0"/>
          <w:sz w:val="30"/>
          <w:szCs w:val="30"/>
          <w:lang w:val="en-US" w:eastAsia="zh-CN"/>
          <w14:textFill>
            <w14:solidFill>
              <w14:schemeClr w14:val="tx1"/>
            </w14:solidFill>
          </w14:textFill>
        </w:rPr>
        <w:t>了</w:t>
      </w:r>
      <w:r>
        <w:rPr>
          <w:rFonts w:hint="eastAsia" w:ascii="仿宋" w:hAnsi="仿宋" w:eastAsia="仿宋" w:cs="仿宋"/>
          <w:color w:val="000000" w:themeColor="text1"/>
          <w:kern w:val="0"/>
          <w:sz w:val="30"/>
          <w:szCs w:val="30"/>
          <w:lang w:val="en-US"/>
          <w14:textFill>
            <w14:solidFill>
              <w14:schemeClr w14:val="tx1"/>
            </w14:solidFill>
          </w14:textFill>
        </w:rPr>
        <w:t>资金利用率</w:t>
      </w:r>
      <w:r>
        <w:rPr>
          <w:rFonts w:hint="eastAsia" w:ascii="仿宋" w:hAnsi="仿宋" w:eastAsia="仿宋" w:cs="仿宋"/>
          <w:color w:val="000000" w:themeColor="text1"/>
          <w:kern w:val="0"/>
          <w:sz w:val="30"/>
          <w:szCs w:val="30"/>
          <w:lang w:val="en-US" w:eastAsia="zh-CN"/>
          <w14:textFill>
            <w14:solidFill>
              <w14:schemeClr w14:val="tx1"/>
            </w14:solidFill>
          </w14:textFill>
        </w:rPr>
        <w:t>。</w:t>
      </w:r>
    </w:p>
    <w:p w14:paraId="219536F4">
      <w:pPr>
        <w:pageBreakBefore w:val="0"/>
        <w:widowControl/>
        <w:kinsoku/>
        <w:wordWrap/>
        <w:overflowPunct/>
        <w:topLinePunct w:val="0"/>
        <w:autoSpaceDE/>
        <w:autoSpaceDN/>
        <w:bidi w:val="0"/>
        <w:adjustRightInd/>
        <w:spacing w:before="100" w:beforeLines="0" w:after="100" w:afterLines="0"/>
        <w:ind w:firstLine="301" w:firstLineChars="100"/>
        <w:jc w:val="left"/>
        <w:textAlignment w:val="auto"/>
        <w:rPr>
          <w:rFonts w:hint="eastAsia" w:ascii="仿宋" w:hAnsi="仿宋" w:eastAsia="仿宋" w:cs="仿宋"/>
          <w:color w:val="000000" w:themeColor="text1"/>
          <w:sz w:val="30"/>
          <w:szCs w:val="30"/>
          <w:lang w:val="zh-CN"/>
          <w14:textFill>
            <w14:solidFill>
              <w14:schemeClr w14:val="tx1"/>
            </w14:solidFill>
          </w14:textFill>
        </w:rPr>
      </w:pPr>
      <w:r>
        <w:rPr>
          <w:rFonts w:hint="eastAsia" w:ascii="仿宋" w:hAnsi="仿宋" w:eastAsia="仿宋" w:cs="仿宋"/>
          <w:b/>
          <w:color w:val="000000" w:themeColor="text1"/>
          <w:sz w:val="30"/>
          <w:szCs w:val="30"/>
          <w:lang w:val="zh-CN"/>
          <w14:textFill>
            <w14:solidFill>
              <w14:schemeClr w14:val="tx1"/>
            </w14:solidFill>
          </w14:textFill>
        </w:rPr>
        <w:t>三、部门绩效评价结果</w:t>
      </w:r>
    </w:p>
    <w:p w14:paraId="415831CB">
      <w:pPr>
        <w:spacing w:before="100" w:beforeLines="0" w:after="100" w:afterLines="0"/>
        <w:ind w:firstLine="640" w:firstLineChars="200"/>
        <w:jc w:val="both"/>
        <w:rPr>
          <w:rFonts w:hint="eastAsia" w:ascii="仿宋" w:hAnsi="仿宋" w:eastAsia="仿宋" w:cs="仿宋"/>
          <w:b w:val="0"/>
          <w:bCs w:val="0"/>
          <w:color w:val="000000" w:themeColor="text1"/>
          <w:sz w:val="32"/>
          <w:szCs w:val="32"/>
          <w:lang w:val="zh-CN" w:eastAsia="zh-CN"/>
          <w14:textFill>
            <w14:solidFill>
              <w14:schemeClr w14:val="tx1"/>
            </w14:solidFill>
          </w14:textFill>
        </w:rPr>
      </w:pPr>
      <w:r>
        <w:rPr>
          <w:rFonts w:hint="eastAsia" w:ascii="仿宋" w:hAnsi="仿宋" w:eastAsia="仿宋" w:cs="仿宋"/>
          <w:b w:val="0"/>
          <w:bCs w:val="0"/>
          <w:color w:val="000000" w:themeColor="text1"/>
          <w:sz w:val="32"/>
          <w:szCs w:val="32"/>
          <w:lang w:val="zh-CN" w:eastAsia="zh-CN"/>
          <w14:textFill>
            <w14:solidFill>
              <w14:schemeClr w14:val="tx1"/>
            </w14:solidFill>
          </w14:textFill>
        </w:rPr>
        <w:t>详见附件：华池县人力资源市场管理中心整体支出绩效目标自评表</w:t>
      </w:r>
    </w:p>
    <w:p w14:paraId="7F098AAA">
      <w:pPr>
        <w:spacing w:before="100" w:beforeLines="0" w:after="100" w:afterLines="0"/>
        <w:jc w:val="center"/>
        <w:rPr>
          <w:rFonts w:hint="eastAsia" w:ascii="仿宋" w:hAnsi="仿宋" w:eastAsia="仿宋" w:cs="仿宋"/>
          <w:b/>
          <w:bCs/>
          <w:color w:val="000000" w:themeColor="text1"/>
          <w:sz w:val="32"/>
          <w:szCs w:val="32"/>
          <w:lang w:val="zh-CN" w:eastAsia="zh-CN"/>
          <w14:textFill>
            <w14:solidFill>
              <w14:schemeClr w14:val="tx1"/>
            </w14:solidFill>
          </w14:textFill>
        </w:rPr>
      </w:pPr>
      <w:r>
        <w:rPr>
          <w:rFonts w:hint="eastAsia" w:ascii="仿宋" w:hAnsi="仿宋" w:eastAsia="仿宋" w:cs="仿宋"/>
          <w:b/>
          <w:bCs/>
          <w:color w:val="000000" w:themeColor="text1"/>
          <w:sz w:val="32"/>
          <w:szCs w:val="32"/>
          <w:lang w:val="zh-CN" w:eastAsia="zh-CN"/>
          <w14:textFill>
            <w14:solidFill>
              <w14:schemeClr w14:val="tx1"/>
            </w14:solidFill>
          </w14:textFill>
        </w:rPr>
        <w:t>第五部分</w:t>
      </w:r>
      <w:r>
        <w:rPr>
          <w:rFonts w:hint="eastAsia" w:ascii="仿宋" w:hAnsi="仿宋" w:eastAsia="仿宋" w:cs="仿宋"/>
          <w:b/>
          <w:bCs/>
          <w:color w:val="000000" w:themeColor="text1"/>
          <w:sz w:val="32"/>
          <w:szCs w:val="32"/>
          <w:lang w:val="en-US" w:eastAsia="zh-CN"/>
          <w14:textFill>
            <w14:solidFill>
              <w14:schemeClr w14:val="tx1"/>
            </w14:solidFill>
          </w14:textFill>
        </w:rPr>
        <w:t xml:space="preserve">  </w:t>
      </w:r>
      <w:r>
        <w:rPr>
          <w:rFonts w:hint="eastAsia" w:ascii="仿宋" w:hAnsi="仿宋" w:eastAsia="仿宋" w:cs="仿宋"/>
          <w:b/>
          <w:bCs/>
          <w:color w:val="000000" w:themeColor="text1"/>
          <w:sz w:val="32"/>
          <w:szCs w:val="32"/>
          <w:lang w:val="zh-CN" w:eastAsia="zh-CN"/>
          <w14:textFill>
            <w14:solidFill>
              <w14:schemeClr w14:val="tx1"/>
            </w14:solidFill>
          </w14:textFill>
        </w:rPr>
        <w:t>名词解释</w:t>
      </w:r>
      <w:bookmarkStart w:id="0" w:name="_GoBack"/>
      <w:bookmarkEnd w:id="0"/>
    </w:p>
    <w:p w14:paraId="33717599">
      <w:pPr>
        <w:spacing w:before="100" w:beforeLines="0" w:after="100" w:afterLines="0"/>
        <w:ind w:firstLine="640" w:firstLineChars="200"/>
        <w:jc w:val="both"/>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以下为常见专业名词解释目录,仅供参考,部门应根据实际情况进行解释和增减。比如可将类级功能科目和经济科目细化解释到项级。若有删减注意调整段落序号。</w:t>
      </w:r>
    </w:p>
    <w:p w14:paraId="3E646114">
      <w:pPr>
        <w:spacing w:before="100" w:beforeLines="0" w:after="100" w:afterLines="0"/>
        <w:ind w:firstLine="321" w:firstLineChars="100"/>
        <w:jc w:val="both"/>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一、财政拨款收入</w:t>
      </w:r>
      <w:r>
        <w:rPr>
          <w:rFonts w:hint="eastAsia" w:ascii="仿宋" w:hAnsi="仿宋" w:eastAsia="仿宋" w:cs="仿宋"/>
          <w:color w:val="000000" w:themeColor="text1"/>
          <w:sz w:val="32"/>
          <w:szCs w:val="32"/>
          <w:lang w:val="zh-CN"/>
          <w14:textFill>
            <w14:solidFill>
              <w14:schemeClr w14:val="tx1"/>
            </w14:solidFill>
          </w14:textFill>
        </w:rPr>
        <w:t>：指本年度从同级财政部门取得的财政拨款,包括一般公共预算财政拨款、政府性基金预算财政拨款和国有资本经营预算财政拨款。</w:t>
      </w:r>
    </w:p>
    <w:p w14:paraId="2DED5919">
      <w:pPr>
        <w:spacing w:before="100" w:beforeLines="0" w:after="100" w:afterLines="0"/>
        <w:ind w:firstLine="321" w:firstLineChars="100"/>
        <w:jc w:val="both"/>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二、事业收入</w:t>
      </w:r>
      <w:r>
        <w:rPr>
          <w:rFonts w:hint="eastAsia" w:ascii="仿宋" w:hAnsi="仿宋" w:eastAsia="仿宋" w:cs="仿宋"/>
          <w:color w:val="000000" w:themeColor="text1"/>
          <w:sz w:val="32"/>
          <w:szCs w:val="32"/>
          <w:lang w:val="zh-CN"/>
          <w14:textFill>
            <w14:solidFill>
              <w14:schemeClr w14:val="tx1"/>
            </w14:solidFill>
          </w14:textFill>
        </w:rPr>
        <w:t>：指事业单位开展专业业务活动及其辅助活动取得的收入。</w:t>
      </w:r>
    </w:p>
    <w:p w14:paraId="5C5104AC">
      <w:pPr>
        <w:spacing w:before="100" w:beforeLines="0" w:after="100" w:afterLines="0"/>
        <w:ind w:firstLine="321" w:firstLineChars="100"/>
        <w:jc w:val="both"/>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三、经营收入</w:t>
      </w:r>
      <w:r>
        <w:rPr>
          <w:rFonts w:hint="eastAsia" w:ascii="仿宋" w:hAnsi="仿宋" w:eastAsia="仿宋" w:cs="仿宋"/>
          <w:color w:val="000000" w:themeColor="text1"/>
          <w:sz w:val="32"/>
          <w:szCs w:val="32"/>
          <w:lang w:val="zh-CN"/>
          <w14:textFill>
            <w14:solidFill>
              <w14:schemeClr w14:val="tx1"/>
            </w14:solidFill>
          </w14:textFill>
        </w:rPr>
        <w:t>：指事业单位在专业业务活动及其辅助活动之外开展非独立核算经营活动取得的收入。</w:t>
      </w:r>
    </w:p>
    <w:p w14:paraId="57455606">
      <w:pPr>
        <w:spacing w:before="100" w:beforeLines="0" w:after="100" w:afterLines="0"/>
        <w:ind w:firstLine="321" w:firstLineChars="100"/>
        <w:jc w:val="both"/>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四、其他收入</w:t>
      </w:r>
      <w:r>
        <w:rPr>
          <w:rFonts w:hint="eastAsia" w:ascii="仿宋" w:hAnsi="仿宋" w:eastAsia="仿宋" w:cs="仿宋"/>
          <w:color w:val="000000" w:themeColor="text1"/>
          <w:sz w:val="32"/>
          <w:szCs w:val="32"/>
          <w:lang w:val="zh-CN"/>
          <w14:textFill>
            <w14:solidFill>
              <w14:schemeClr w14:val="tx1"/>
            </w14:solidFill>
          </w14:textFill>
        </w:rPr>
        <w:t>：指除上述“财政拨款收入”“事业收入”、“经营收入”以外的收入。</w:t>
      </w:r>
    </w:p>
    <w:p w14:paraId="55B7A996">
      <w:pPr>
        <w:spacing w:before="100" w:beforeLines="0" w:after="100" w:afterLines="0"/>
        <w:ind w:firstLine="321" w:firstLineChars="100"/>
        <w:jc w:val="both"/>
        <w:rPr>
          <w:rFonts w:hint="eastAsia" w:ascii="仿宋" w:hAnsi="仿宋" w:eastAsia="仿宋" w:cs="仿宋"/>
          <w:b w:val="0"/>
          <w:bCs w:val="0"/>
          <w:color w:val="000000" w:themeColor="text1"/>
          <w:sz w:val="32"/>
          <w:szCs w:val="32"/>
          <w:lang w:val="zh-CN"/>
          <w14:textFill>
            <w14:solidFill>
              <w14:schemeClr w14:val="tx1"/>
            </w14:solidFill>
          </w14:textFill>
        </w:rPr>
      </w:pPr>
      <w:r>
        <w:rPr>
          <w:rFonts w:hint="eastAsia" w:ascii="仿宋" w:hAnsi="仿宋" w:eastAsia="仿宋" w:cs="仿宋"/>
          <w:b/>
          <w:bCs/>
          <w:color w:val="000000" w:themeColor="text1"/>
          <w:sz w:val="32"/>
          <w:szCs w:val="32"/>
          <w:lang w:val="zh-CN"/>
          <w14:textFill>
            <w14:solidFill>
              <w14:schemeClr w14:val="tx1"/>
            </w14:solidFill>
          </w14:textFill>
        </w:rPr>
        <w:t>五、使用非财政拨款结余（含专用结余）：</w:t>
      </w:r>
      <w:r>
        <w:rPr>
          <w:rFonts w:hint="eastAsia" w:ascii="仿宋" w:hAnsi="仿宋" w:eastAsia="仿宋" w:cs="仿宋"/>
          <w:b w:val="0"/>
          <w:bCs w:val="0"/>
          <w:color w:val="000000" w:themeColor="text1"/>
          <w:sz w:val="32"/>
          <w:szCs w:val="32"/>
          <w:lang w:val="zh-CN"/>
          <w14:textFill>
            <w14:solidFill>
              <w14:schemeClr w14:val="tx1"/>
            </w14:solidFill>
          </w14:textFill>
        </w:rPr>
        <w:t>指事业单位按照预算管理要求使用非财政拨款结余弥补收支差额的金额，以及使用专用结余安排支出的金额。</w:t>
      </w:r>
    </w:p>
    <w:p w14:paraId="72B401A2">
      <w:pPr>
        <w:spacing w:before="100" w:beforeLines="0" w:after="100" w:afterLines="0"/>
        <w:ind w:firstLine="321" w:firstLineChars="100"/>
        <w:jc w:val="both"/>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六、年初结转和结余</w:t>
      </w:r>
      <w:r>
        <w:rPr>
          <w:rFonts w:hint="eastAsia" w:ascii="仿宋" w:hAnsi="仿宋" w:eastAsia="仿宋" w:cs="仿宋"/>
          <w:color w:val="000000" w:themeColor="text1"/>
          <w:sz w:val="32"/>
          <w:szCs w:val="32"/>
          <w:lang w:val="zh-CN"/>
          <w14:textFill>
            <w14:solidFill>
              <w14:schemeClr w14:val="tx1"/>
            </w14:solidFill>
          </w14:textFill>
        </w:rPr>
        <w:t>：指单位上年结转至本年使用的基本支出结转、项目支出结转和结余、经营结余。</w:t>
      </w:r>
    </w:p>
    <w:p w14:paraId="5E2292CA">
      <w:pPr>
        <w:spacing w:before="100" w:beforeLines="0" w:after="100" w:afterLines="0"/>
        <w:ind w:firstLine="321" w:firstLineChars="100"/>
        <w:jc w:val="both"/>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七、结余分配</w:t>
      </w:r>
      <w:r>
        <w:rPr>
          <w:rFonts w:hint="eastAsia" w:ascii="仿宋" w:hAnsi="仿宋" w:eastAsia="仿宋" w:cs="仿宋"/>
          <w:color w:val="000000" w:themeColor="text1"/>
          <w:sz w:val="32"/>
          <w:szCs w:val="32"/>
          <w:lang w:val="zh-CN"/>
          <w14:textFill>
            <w14:solidFill>
              <w14:schemeClr w14:val="tx1"/>
            </w14:solidFill>
          </w14:textFill>
        </w:rPr>
        <w:t>：指单位按照会计制度规定缴纳的所得税、提取的专用结余以及转入非财政拨款结余的金额等。</w:t>
      </w:r>
    </w:p>
    <w:p w14:paraId="5A7CC37A">
      <w:pPr>
        <w:spacing w:before="100" w:beforeLines="0" w:after="100" w:afterLines="0"/>
        <w:ind w:firstLine="321" w:firstLineChars="100"/>
        <w:jc w:val="both"/>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八、年末结转和结余</w:t>
      </w:r>
      <w:r>
        <w:rPr>
          <w:rFonts w:hint="eastAsia" w:ascii="仿宋" w:hAnsi="仿宋" w:eastAsia="仿宋" w:cs="仿宋"/>
          <w:color w:val="000000" w:themeColor="text1"/>
          <w:sz w:val="32"/>
          <w:szCs w:val="32"/>
          <w:lang w:val="zh-CN"/>
          <w14:textFill>
            <w14:solidFill>
              <w14:schemeClr w14:val="tx1"/>
            </w14:solidFill>
          </w14:textFill>
        </w:rPr>
        <w:t>：指单位按有关规定结转到下年的基本支出结转、项目支出结转和结余、经营结余。</w:t>
      </w:r>
    </w:p>
    <w:p w14:paraId="6E27C22E">
      <w:pPr>
        <w:spacing w:before="100" w:beforeLines="0" w:after="100" w:afterLines="0"/>
        <w:ind w:firstLine="321" w:firstLineChars="100"/>
        <w:jc w:val="both"/>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九、基本支出</w:t>
      </w:r>
      <w:r>
        <w:rPr>
          <w:rFonts w:hint="eastAsia" w:ascii="仿宋" w:hAnsi="仿宋" w:eastAsia="仿宋" w:cs="仿宋"/>
          <w:color w:val="000000" w:themeColor="text1"/>
          <w:sz w:val="32"/>
          <w:szCs w:val="32"/>
          <w:lang w:val="zh-CN"/>
          <w14:textFill>
            <w14:solidFill>
              <w14:schemeClr w14:val="tx1"/>
            </w14:solidFill>
          </w14:textFill>
        </w:rPr>
        <w:t>：指为保障机构正常运转、完成日常工作任务而发生的人员经费和公用经费。</w:t>
      </w:r>
    </w:p>
    <w:p w14:paraId="54390898">
      <w:pPr>
        <w:spacing w:before="100" w:beforeLines="0" w:after="100" w:afterLines="0"/>
        <w:ind w:firstLine="321" w:firstLineChars="100"/>
        <w:jc w:val="both"/>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十、项目支出</w:t>
      </w:r>
      <w:r>
        <w:rPr>
          <w:rFonts w:hint="eastAsia" w:ascii="仿宋" w:hAnsi="仿宋" w:eastAsia="仿宋" w:cs="仿宋"/>
          <w:color w:val="000000" w:themeColor="text1"/>
          <w:sz w:val="32"/>
          <w:szCs w:val="32"/>
          <w:lang w:val="zh-CN"/>
          <w14:textFill>
            <w14:solidFill>
              <w14:schemeClr w14:val="tx1"/>
            </w14:solidFill>
          </w14:textFill>
        </w:rPr>
        <w:t>：指在基本支出之外为完成特定行政任务或事业发展目标所发生的支出。</w:t>
      </w:r>
    </w:p>
    <w:p w14:paraId="00D9EA38">
      <w:pPr>
        <w:spacing w:before="100" w:beforeLines="0" w:after="100" w:afterLines="0"/>
        <w:ind w:firstLine="321" w:firstLineChars="100"/>
        <w:jc w:val="both"/>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十一、经营支出</w:t>
      </w:r>
      <w:r>
        <w:rPr>
          <w:rFonts w:hint="eastAsia" w:ascii="仿宋" w:hAnsi="仿宋" w:eastAsia="仿宋" w:cs="仿宋"/>
          <w:color w:val="000000" w:themeColor="text1"/>
          <w:sz w:val="32"/>
          <w:szCs w:val="32"/>
          <w:lang w:val="zh-CN"/>
          <w14:textFill>
            <w14:solidFill>
              <w14:schemeClr w14:val="tx1"/>
            </w14:solidFill>
          </w14:textFill>
        </w:rPr>
        <w:t>：指事业单位在专业业务活动及其辅助活动之外开展非独立核算经营活动发生的支出。</w:t>
      </w:r>
    </w:p>
    <w:p w14:paraId="1D1093BC">
      <w:pPr>
        <w:spacing w:before="100" w:beforeLines="0" w:after="100" w:afterLines="0"/>
        <w:ind w:firstLine="321" w:firstLineChars="100"/>
        <w:jc w:val="both"/>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十二、“三公”经费</w:t>
      </w:r>
      <w:r>
        <w:rPr>
          <w:rFonts w:hint="eastAsia" w:ascii="仿宋" w:hAnsi="仿宋" w:eastAsia="仿宋" w:cs="仿宋"/>
          <w:color w:val="000000" w:themeColor="text1"/>
          <w:sz w:val="32"/>
          <w:szCs w:val="32"/>
          <w:lang w:val="zh-CN"/>
          <w14:textFill>
            <w14:solidFill>
              <w14:schemeClr w14:val="tx1"/>
            </w14:solidFill>
          </w14:textFill>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57682BE2">
      <w:pPr>
        <w:spacing w:before="100" w:beforeLines="0" w:after="100" w:afterLines="0"/>
        <w:ind w:firstLine="321" w:firstLineChars="100"/>
        <w:jc w:val="both"/>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十三、机关运行经费</w:t>
      </w:r>
      <w:r>
        <w:rPr>
          <w:rFonts w:hint="eastAsia" w:ascii="仿宋" w:hAnsi="仿宋" w:eastAsia="仿宋" w:cs="仿宋"/>
          <w:color w:val="000000" w:themeColor="text1"/>
          <w:sz w:val="32"/>
          <w:szCs w:val="32"/>
          <w:lang w:val="zh-CN"/>
          <w14:textFill>
            <w14:solidFill>
              <w14:schemeClr w14:val="tx1"/>
            </w14:solidFill>
          </w14:textFill>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26BE4DE3">
      <w:pPr>
        <w:spacing w:before="100" w:beforeLines="0" w:after="100" w:afterLines="0"/>
        <w:ind w:firstLine="321" w:firstLineChars="100"/>
        <w:jc w:val="both"/>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b/>
          <w:color w:val="000000" w:themeColor="text1"/>
          <w:sz w:val="32"/>
          <w:szCs w:val="32"/>
          <w:lang w:val="zh-CN"/>
          <w14:textFill>
            <w14:solidFill>
              <w14:schemeClr w14:val="tx1"/>
            </w14:solidFill>
          </w14:textFill>
        </w:rPr>
        <w:t>十四、社会保障和就业支出（类）行政事业单位养老支出（款）机关事业单位基本养老保险缴费支出（项）：</w:t>
      </w:r>
      <w:r>
        <w:rPr>
          <w:rFonts w:hint="eastAsia" w:ascii="仿宋" w:hAnsi="仿宋" w:eastAsia="仿宋" w:cs="仿宋"/>
          <w:color w:val="000000" w:themeColor="text1"/>
          <w:sz w:val="32"/>
          <w:szCs w:val="32"/>
          <w:lang w:val="zh-CN"/>
          <w14:textFill>
            <w14:solidFill>
              <w14:schemeClr w14:val="tx1"/>
            </w14:solidFill>
          </w14:textFill>
        </w:rPr>
        <w:t>反映机关事业单位实施养老保险制度由单位缴纳的基本养老保险支出。</w:t>
      </w:r>
    </w:p>
    <w:p w14:paraId="6E0B2FA9">
      <w:pPr>
        <w:spacing w:before="100" w:beforeLines="0" w:after="100" w:afterLines="0"/>
        <w:jc w:val="both"/>
        <w:rPr>
          <w:rFonts w:hint="eastAsia" w:ascii="仿宋" w:hAnsi="仿宋" w:eastAsia="仿宋" w:cs="仿宋"/>
          <w:color w:val="000000" w:themeColor="text1"/>
          <w:sz w:val="32"/>
          <w:szCs w:val="32"/>
          <w:lang w:val="zh-CN"/>
          <w14:textFill>
            <w14:solidFill>
              <w14:schemeClr w14:val="tx1"/>
            </w14:solidFill>
          </w14:textFill>
        </w:rPr>
      </w:pPr>
    </w:p>
    <w:p w14:paraId="017041D4">
      <w:pPr>
        <w:spacing w:before="100" w:beforeLines="0" w:after="100" w:afterLines="0"/>
        <w:jc w:val="both"/>
        <w:rPr>
          <w:rFonts w:hint="eastAsia" w:ascii="仿宋" w:hAnsi="仿宋" w:eastAsia="仿宋" w:cs="仿宋"/>
          <w:color w:val="000000" w:themeColor="text1"/>
          <w:sz w:val="32"/>
          <w:szCs w:val="32"/>
          <w:lang w:val="zh-CN"/>
          <w14:textFill>
            <w14:solidFill>
              <w14:schemeClr w14:val="tx1"/>
            </w14:solidFill>
          </w14:textFill>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BAF4F4"/>
    <w:multiLevelType w:val="singleLevel"/>
    <w:tmpl w:val="A0BAF4F4"/>
    <w:lvl w:ilvl="0" w:tentative="0">
      <w:start w:val="1"/>
      <w:numFmt w:val="decimal"/>
      <w:suff w:val="nothing"/>
      <w:lvlText w:val="%1．"/>
      <w:lvlJc w:val="left"/>
    </w:lvl>
  </w:abstractNum>
  <w:abstractNum w:abstractNumId="1">
    <w:nsid w:val="ACBD9E93"/>
    <w:multiLevelType w:val="singleLevel"/>
    <w:tmpl w:val="ACBD9E93"/>
    <w:lvl w:ilvl="0" w:tentative="0">
      <w:start w:val="1"/>
      <w:numFmt w:val="chineseCounting"/>
      <w:suff w:val="nothing"/>
      <w:lvlText w:val="%1、"/>
      <w:lvlJc w:val="left"/>
      <w:rPr>
        <w:rFonts w:hint="eastAsia"/>
      </w:rPr>
    </w:lvl>
  </w:abstractNum>
  <w:abstractNum w:abstractNumId="2">
    <w:nsid w:val="0053208E"/>
    <w:multiLevelType w:val="singleLevel"/>
    <w:tmpl w:val="0053208E"/>
    <w:lvl w:ilvl="0" w:tentative="0">
      <w:start w:val="2"/>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iMDAwZGYzMzRiOWM3ZTJiZTI3MWJjY2Y4MTQ3NTAifQ=="/>
  </w:docVars>
  <w:rsids>
    <w:rsidRoot w:val="00000000"/>
    <w:rsid w:val="04622743"/>
    <w:rsid w:val="0AFE7159"/>
    <w:rsid w:val="17CB0FB4"/>
    <w:rsid w:val="1D395EB5"/>
    <w:rsid w:val="22180CFF"/>
    <w:rsid w:val="23B46747"/>
    <w:rsid w:val="23B628CE"/>
    <w:rsid w:val="23BE02A0"/>
    <w:rsid w:val="2787114D"/>
    <w:rsid w:val="36602EFD"/>
    <w:rsid w:val="373E4838"/>
    <w:rsid w:val="377E0CC9"/>
    <w:rsid w:val="3785372E"/>
    <w:rsid w:val="41DF7A85"/>
    <w:rsid w:val="49194DE5"/>
    <w:rsid w:val="522B7999"/>
    <w:rsid w:val="570D55B0"/>
    <w:rsid w:val="5A854F30"/>
    <w:rsid w:val="5D68557B"/>
    <w:rsid w:val="604A1E3B"/>
    <w:rsid w:val="67AE25AD"/>
    <w:rsid w:val="6BE6727F"/>
    <w:rsid w:val="6D9E006F"/>
    <w:rsid w:val="709B5F0B"/>
    <w:rsid w:val="71592365"/>
    <w:rsid w:val="743E0DBA"/>
    <w:rsid w:val="761C24A7"/>
    <w:rsid w:val="7A0A4541"/>
    <w:rsid w:val="7A206096"/>
    <w:rsid w:val="7A817143"/>
    <w:rsid w:val="7D9420F5"/>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jc w:val="left"/>
    </w:pPr>
    <w:rPr>
      <w:rFonts w:cs="Times New Roman"/>
      <w:sz w:val="24"/>
    </w:rPr>
  </w:style>
  <w:style w:type="table" w:styleId="4">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3.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4.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6.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7.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8.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9.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Props1.xml><?xml version="1.0" encoding="utf-8"?>
<ds:datastoreItem xmlns:ds="http://schemas.openxmlformats.org/officeDocument/2006/customXml" ds:itemID="{12e9112e-d21a-4dfa-94e6-aed0c0f563a3}">
  <ds:schemaRefs/>
</ds:datastoreItem>
</file>

<file path=customXml/itemProps2.xml><?xml version="1.0" encoding="utf-8"?>
<ds:datastoreItem xmlns:ds="http://schemas.openxmlformats.org/officeDocument/2006/customXml" ds:itemID="{924e1611-8645-40eb-9853-29a5ab9bae2e}">
  <ds:schemaRefs/>
</ds:datastoreItem>
</file>

<file path=customXml/itemProps3.xml><?xml version="1.0" encoding="utf-8"?>
<ds:datastoreItem xmlns:ds="http://schemas.openxmlformats.org/officeDocument/2006/customXml" ds:itemID="{d0fa594d-1989-43d6-ad32-e7ca76b8ea26}">
  <ds:schemaRefs/>
</ds:datastoreItem>
</file>

<file path=customXml/itemProps4.xml><?xml version="1.0" encoding="utf-8"?>
<ds:datastoreItem xmlns:ds="http://schemas.openxmlformats.org/officeDocument/2006/customXml" ds:itemID="{956331e8-3a65-447f-814a-7c1d17969144}">
  <ds:schemaRefs/>
</ds:datastoreItem>
</file>

<file path=customXml/itemProps5.xml><?xml version="1.0" encoding="utf-8"?>
<ds:datastoreItem xmlns:ds="http://schemas.openxmlformats.org/officeDocument/2006/customXml" ds:itemID="{8fe76767-f297-4258-96a8-cf0c191a491c}">
  <ds:schemaRefs/>
</ds:datastoreItem>
</file>

<file path=customXml/itemProps6.xml><?xml version="1.0" encoding="utf-8"?>
<ds:datastoreItem xmlns:ds="http://schemas.openxmlformats.org/officeDocument/2006/customXml" ds:itemID="{07b7fc1b-4f64-47b7-bfd6-0578d0c71c9a}">
  <ds:schemaRefs/>
</ds:datastoreItem>
</file>

<file path=customXml/itemProps7.xml><?xml version="1.0" encoding="utf-8"?>
<ds:datastoreItem xmlns:ds="http://schemas.openxmlformats.org/officeDocument/2006/customXml" ds:itemID="{a6aef764-156f-4d77-96de-146ddc83457f}">
  <ds:schemaRefs/>
</ds:datastoreItem>
</file>

<file path=customXml/itemProps8.xml><?xml version="1.0" encoding="utf-8"?>
<ds:datastoreItem xmlns:ds="http://schemas.openxmlformats.org/officeDocument/2006/customXml" ds:itemID="{3545bc4a-5e7f-4c7a-8e06-11bad1b459f2}">
  <ds:schemaRefs/>
</ds:datastoreItem>
</file>

<file path=customXml/itemProps9.xml><?xml version="1.0" encoding="utf-8"?>
<ds:datastoreItem xmlns:ds="http://schemas.openxmlformats.org/officeDocument/2006/customXml" ds:itemID="{d11b503e-525f-443f-b75b-7598e88b067b}">
  <ds:schemaRefs/>
</ds:datastoreItem>
</file>

<file path=docProps/app.xml><?xml version="1.0" encoding="utf-8"?>
<Properties xmlns="http://schemas.openxmlformats.org/officeDocument/2006/extended-properties" xmlns:vt="http://schemas.openxmlformats.org/officeDocument/2006/docPropsVTypes">
  <Template>Normal.dotm</Template>
  <Pages>12</Pages>
  <Words>3467</Words>
  <Characters>3757</Characters>
  <Lines>0</Lines>
  <Paragraphs>0</Paragraphs>
  <TotalTime>20</TotalTime>
  <ScaleCrop>false</ScaleCrop>
  <LinksUpToDate>false</LinksUpToDate>
  <CharactersWithSpaces>3765</CharactersWithSpaces>
  <Application>WPS Office_12.1.0.18166_F1E327BC-269C-435d-A152-05C5408002CA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love迷儿</cp:lastModifiedBy>
  <cp:lastPrinted>2024-09-18T01:33:00Z</cp:lastPrinted>
  <dcterms:modified xsi:type="dcterms:W3CDTF">2024-09-18T01:38:04Z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2052-12.1.0.18166</vt:lpwstr>
  </property>
  <property fmtid="{D5CDD505-2E9C-101B-9397-08002B2CF9AE}" pid="3" name="ICV">
    <vt:lpwstr>C418BCF62958445DA5DC881C1D597184</vt:lpwstr>
  </property>
</Properties>
</file>