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4A17B">
      <w:pPr>
        <w:spacing w:before="100" w:beforeLines="0" w:after="100" w:afterLines="0"/>
        <w:jc w:val="center"/>
        <w:rPr>
          <w:rFonts w:hint="eastAsia" w:ascii="宋体" w:hAnsi="宋体"/>
          <w:sz w:val="24"/>
          <w:szCs w:val="24"/>
          <w:lang w:val="zh-CN"/>
        </w:rPr>
      </w:pPr>
    </w:p>
    <w:p w14:paraId="5C26801F">
      <w:pPr>
        <w:spacing w:before="100" w:beforeLines="0" w:after="100" w:afterLines="0"/>
        <w:jc w:val="center"/>
        <w:rPr>
          <w:rFonts w:hint="eastAsia" w:ascii="宋体" w:hAnsi="宋体"/>
          <w:sz w:val="24"/>
          <w:szCs w:val="24"/>
          <w:lang w:val="zh-CN"/>
        </w:rPr>
      </w:pPr>
    </w:p>
    <w:p w14:paraId="2464EB62">
      <w:pPr>
        <w:spacing w:before="100" w:beforeLines="0" w:after="100" w:afterLines="0"/>
        <w:jc w:val="center"/>
        <w:rPr>
          <w:rFonts w:hint="eastAsia" w:ascii="宋体" w:hAnsi="宋体"/>
          <w:sz w:val="24"/>
          <w:szCs w:val="24"/>
          <w:lang w:val="zh-CN"/>
        </w:rPr>
      </w:pPr>
    </w:p>
    <w:p w14:paraId="1CFD25A9">
      <w:pPr>
        <w:spacing w:before="100" w:beforeLines="0" w:after="100" w:afterLines="0"/>
        <w:jc w:val="center"/>
        <w:rPr>
          <w:rFonts w:hint="eastAsia" w:ascii="宋体" w:hAnsi="宋体"/>
          <w:sz w:val="24"/>
          <w:szCs w:val="24"/>
          <w:lang w:val="zh-CN"/>
        </w:rPr>
      </w:pPr>
    </w:p>
    <w:p w14:paraId="3B29E875">
      <w:pPr>
        <w:spacing w:before="100" w:beforeLines="0" w:after="100" w:afterLines="0"/>
        <w:jc w:val="center"/>
        <w:rPr>
          <w:rFonts w:hint="eastAsia" w:ascii="宋体" w:hAnsi="宋体"/>
          <w:sz w:val="24"/>
          <w:szCs w:val="24"/>
          <w:lang w:val="zh-CN"/>
        </w:rPr>
      </w:pPr>
    </w:p>
    <w:p w14:paraId="525F41F6">
      <w:pPr>
        <w:spacing w:before="100" w:beforeLines="0" w:after="100" w:afterLines="0"/>
        <w:jc w:val="center"/>
        <w:rPr>
          <w:rFonts w:hint="eastAsia" w:ascii="宋体" w:hAnsi="宋体"/>
          <w:sz w:val="24"/>
          <w:szCs w:val="24"/>
          <w:lang w:val="zh-CN"/>
        </w:rPr>
      </w:pPr>
    </w:p>
    <w:p w14:paraId="65C2B42C">
      <w:pPr>
        <w:spacing w:before="100" w:beforeLines="0" w:after="100" w:afterLines="0"/>
        <w:jc w:val="center"/>
        <w:rPr>
          <w:rFonts w:hint="eastAsia" w:ascii="宋体" w:hAnsi="宋体"/>
          <w:sz w:val="24"/>
          <w:szCs w:val="24"/>
          <w:lang w:val="zh-CN"/>
        </w:rPr>
      </w:pPr>
    </w:p>
    <w:p w14:paraId="3B1B60D2">
      <w:pPr>
        <w:spacing w:before="100" w:beforeLines="0" w:after="100" w:afterLines="0"/>
        <w:jc w:val="center"/>
        <w:rPr>
          <w:rFonts w:hint="eastAsia" w:ascii="宋体" w:hAnsi="宋体"/>
          <w:sz w:val="24"/>
          <w:szCs w:val="24"/>
          <w:lang w:val="zh-CN"/>
        </w:rPr>
      </w:pPr>
    </w:p>
    <w:p w14:paraId="486681B4">
      <w:pPr>
        <w:spacing w:before="100" w:beforeLines="0" w:after="100" w:afterLines="0"/>
        <w:jc w:val="center"/>
        <w:rPr>
          <w:rFonts w:hint="eastAsia" w:ascii="宋体" w:hAnsi="宋体"/>
          <w:sz w:val="24"/>
          <w:szCs w:val="24"/>
          <w:lang w:val="zh-CN"/>
        </w:rPr>
      </w:pPr>
    </w:p>
    <w:p w14:paraId="279C8D20">
      <w:pPr>
        <w:spacing w:before="100" w:beforeLines="0" w:after="100" w:afterLines="0"/>
        <w:jc w:val="center"/>
        <w:rPr>
          <w:rFonts w:hint="eastAsia" w:ascii="宋体" w:hAnsi="宋体" w:eastAsia="宋体"/>
          <w:b/>
          <w:bCs/>
          <w:sz w:val="44"/>
          <w:szCs w:val="44"/>
          <w:lang w:val="zh-CN"/>
        </w:rPr>
      </w:pPr>
    </w:p>
    <w:p w14:paraId="78CD5053">
      <w:pPr>
        <w:spacing w:before="100" w:beforeLines="0" w:after="100" w:afterLines="0"/>
        <w:jc w:val="center"/>
        <w:rPr>
          <w:rFonts w:hint="eastAsia" w:ascii="宋体" w:hAnsi="宋体" w:eastAsia="宋体"/>
          <w:b/>
          <w:bCs/>
          <w:sz w:val="44"/>
          <w:szCs w:val="44"/>
          <w:lang w:val="zh-CN"/>
        </w:rPr>
      </w:pPr>
    </w:p>
    <w:p w14:paraId="656D4D76">
      <w:pPr>
        <w:spacing w:before="100" w:beforeLines="0" w:after="100" w:afterLines="0"/>
        <w:jc w:val="center"/>
        <w:rPr>
          <w:rFonts w:hint="eastAsia" w:ascii="宋体" w:hAnsi="宋体" w:eastAsia="宋体"/>
          <w:b/>
          <w:bCs/>
          <w:sz w:val="44"/>
          <w:szCs w:val="44"/>
          <w:lang w:val="zh-CN"/>
        </w:rPr>
      </w:pPr>
    </w:p>
    <w:p w14:paraId="3C85C3F8">
      <w:pPr>
        <w:keepNext w:val="0"/>
        <w:keepLines w:val="0"/>
        <w:pageBreakBefore w:val="0"/>
        <w:kinsoku/>
        <w:wordWrap/>
        <w:overflowPunct/>
        <w:topLinePunct w:val="0"/>
        <w:autoSpaceDE/>
        <w:autoSpaceDN/>
        <w:bidi w:val="0"/>
        <w:adjustRightInd/>
        <w:snapToGrid/>
        <w:spacing w:before="100" w:beforeLines="0" w:after="100" w:afterLines="0" w:line="600" w:lineRule="exact"/>
        <w:ind w:firstLine="880" w:firstLineChars="200"/>
        <w:jc w:val="center"/>
        <w:textAlignment w:val="auto"/>
        <w:rPr>
          <w:rFonts w:hint="eastAsia" w:ascii="方正小标宋简体" w:hAnsi="方正小标宋简体" w:eastAsia="方正小标宋简体" w:cs="方正小标宋简体"/>
          <w:b w:val="0"/>
          <w:bCs/>
          <w:color w:val="auto"/>
          <w:sz w:val="44"/>
          <w:szCs w:val="44"/>
          <w:lang w:val="zh-CN"/>
        </w:rPr>
      </w:pPr>
      <w:r>
        <w:rPr>
          <w:rFonts w:hint="eastAsia" w:ascii="方正小标宋简体" w:hAnsi="方正小标宋简体" w:eastAsia="方正小标宋简体" w:cs="方正小标宋简体"/>
          <w:b w:val="0"/>
          <w:bCs/>
          <w:color w:val="auto"/>
          <w:sz w:val="44"/>
          <w:szCs w:val="44"/>
          <w:lang w:val="zh-CN"/>
        </w:rPr>
        <w:t>2023年度</w:t>
      </w:r>
    </w:p>
    <w:p w14:paraId="4548929B">
      <w:pPr>
        <w:keepNext w:val="0"/>
        <w:keepLines w:val="0"/>
        <w:pageBreakBefore w:val="0"/>
        <w:kinsoku/>
        <w:wordWrap/>
        <w:overflowPunct/>
        <w:topLinePunct w:val="0"/>
        <w:autoSpaceDE/>
        <w:autoSpaceDN/>
        <w:bidi w:val="0"/>
        <w:adjustRightInd/>
        <w:snapToGrid/>
        <w:spacing w:before="100" w:beforeLines="0" w:after="100" w:afterLines="0" w:line="600" w:lineRule="exact"/>
        <w:ind w:firstLine="880" w:firstLineChars="200"/>
        <w:jc w:val="center"/>
        <w:textAlignment w:val="auto"/>
        <w:rPr>
          <w:rFonts w:hint="eastAsia" w:ascii="方正小标宋简体" w:hAnsi="方正小标宋简体" w:eastAsia="方正小标宋简体" w:cs="方正小标宋简体"/>
          <w:b w:val="0"/>
          <w:bCs/>
          <w:color w:val="auto"/>
          <w:sz w:val="44"/>
          <w:szCs w:val="44"/>
          <w:lang w:val="zh-CN"/>
        </w:rPr>
      </w:pPr>
      <w:r>
        <w:rPr>
          <w:rFonts w:hint="eastAsia" w:ascii="方正小标宋简体" w:hAnsi="方正小标宋简体" w:eastAsia="方正小标宋简体" w:cs="方正小标宋简体"/>
          <w:b w:val="0"/>
          <w:bCs/>
          <w:color w:val="auto"/>
          <w:sz w:val="44"/>
          <w:szCs w:val="44"/>
          <w:lang w:val="zh-CN"/>
        </w:rPr>
        <w:t>华池县科学技术局部门决算</w:t>
      </w:r>
    </w:p>
    <w:p w14:paraId="03F6D189">
      <w:pPr>
        <w:spacing w:before="100" w:beforeLines="0" w:after="100" w:afterLines="0"/>
        <w:jc w:val="center"/>
        <w:rPr>
          <w:rFonts w:hint="eastAsia" w:ascii="宋体" w:hAnsi="宋体" w:eastAsia="宋体"/>
          <w:b/>
          <w:bCs/>
          <w:sz w:val="44"/>
          <w:szCs w:val="44"/>
          <w:lang w:val="zh-CN"/>
        </w:rPr>
      </w:pPr>
    </w:p>
    <w:p w14:paraId="14766EE9">
      <w:pPr>
        <w:spacing w:before="100" w:beforeLines="0" w:after="100" w:afterLines="0"/>
        <w:jc w:val="center"/>
        <w:rPr>
          <w:rFonts w:hint="eastAsia" w:ascii="宋体" w:hAnsi="宋体"/>
          <w:sz w:val="24"/>
          <w:szCs w:val="24"/>
          <w:lang w:val="zh-CN"/>
        </w:rPr>
      </w:pPr>
    </w:p>
    <w:p w14:paraId="045208C3">
      <w:pPr>
        <w:spacing w:before="100" w:beforeLines="0" w:after="100" w:afterLines="0"/>
        <w:jc w:val="center"/>
        <w:rPr>
          <w:rFonts w:hint="eastAsia" w:ascii="宋体" w:hAnsi="宋体"/>
          <w:sz w:val="24"/>
          <w:szCs w:val="24"/>
          <w:lang w:val="zh-CN"/>
        </w:rPr>
      </w:pPr>
    </w:p>
    <w:p w14:paraId="030E2147">
      <w:pPr>
        <w:spacing w:before="100" w:beforeLines="0" w:after="100" w:afterLines="0"/>
        <w:jc w:val="center"/>
        <w:rPr>
          <w:rFonts w:hint="eastAsia" w:ascii="宋体" w:hAnsi="宋体"/>
          <w:sz w:val="24"/>
          <w:szCs w:val="24"/>
          <w:lang w:val="zh-CN"/>
        </w:rPr>
      </w:pPr>
    </w:p>
    <w:p w14:paraId="422A6D07">
      <w:pPr>
        <w:spacing w:before="100" w:beforeLines="0" w:after="100" w:afterLines="0"/>
        <w:jc w:val="center"/>
        <w:rPr>
          <w:rFonts w:hint="eastAsia" w:ascii="宋体" w:hAnsi="宋体"/>
          <w:sz w:val="24"/>
          <w:szCs w:val="24"/>
          <w:lang w:val="zh-CN"/>
        </w:rPr>
      </w:pPr>
    </w:p>
    <w:p w14:paraId="713C5EFA">
      <w:pPr>
        <w:spacing w:before="100" w:beforeLines="0" w:after="100" w:afterLines="0"/>
        <w:jc w:val="center"/>
        <w:rPr>
          <w:rFonts w:hint="eastAsia" w:ascii="宋体" w:hAnsi="宋体"/>
          <w:sz w:val="24"/>
          <w:szCs w:val="24"/>
          <w:lang w:val="zh-CN"/>
        </w:rPr>
      </w:pPr>
    </w:p>
    <w:p w14:paraId="1D3C1971">
      <w:pPr>
        <w:spacing w:before="100" w:beforeLines="0" w:after="100" w:afterLines="0"/>
        <w:jc w:val="center"/>
        <w:rPr>
          <w:rFonts w:hint="eastAsia" w:ascii="宋体" w:hAnsi="宋体"/>
          <w:sz w:val="24"/>
          <w:szCs w:val="24"/>
          <w:lang w:val="zh-CN"/>
        </w:rPr>
      </w:pPr>
    </w:p>
    <w:p w14:paraId="1F1C5985">
      <w:pPr>
        <w:spacing w:before="100" w:beforeLines="0" w:after="100" w:afterLines="0"/>
        <w:jc w:val="center"/>
        <w:rPr>
          <w:rFonts w:hint="eastAsia" w:ascii="宋体" w:hAnsi="宋体"/>
          <w:sz w:val="24"/>
          <w:szCs w:val="24"/>
          <w:lang w:val="zh-CN"/>
        </w:rPr>
      </w:pPr>
    </w:p>
    <w:p w14:paraId="599A67A8">
      <w:pPr>
        <w:spacing w:before="100" w:beforeLines="0" w:after="100" w:afterLines="0"/>
        <w:jc w:val="center"/>
        <w:rPr>
          <w:rFonts w:hint="eastAsia" w:ascii="宋体" w:hAnsi="宋体"/>
          <w:sz w:val="24"/>
          <w:szCs w:val="24"/>
          <w:lang w:val="zh-CN"/>
        </w:rPr>
      </w:pPr>
    </w:p>
    <w:p w14:paraId="7CF0BBDB">
      <w:pPr>
        <w:spacing w:before="100" w:beforeLines="0" w:after="100" w:afterLines="0"/>
        <w:jc w:val="center"/>
        <w:rPr>
          <w:rFonts w:hint="eastAsia" w:ascii="宋体" w:hAnsi="宋体"/>
          <w:sz w:val="24"/>
          <w:szCs w:val="24"/>
          <w:lang w:val="zh-CN"/>
        </w:rPr>
      </w:pPr>
    </w:p>
    <w:p w14:paraId="0A22CC25">
      <w:pPr>
        <w:spacing w:before="100" w:beforeLines="0" w:after="100" w:afterLines="0"/>
        <w:jc w:val="center"/>
        <w:rPr>
          <w:rFonts w:hint="eastAsia" w:ascii="宋体" w:hAnsi="宋体"/>
          <w:sz w:val="24"/>
          <w:szCs w:val="24"/>
          <w:lang w:val="zh-CN"/>
        </w:rPr>
      </w:pPr>
    </w:p>
    <w:p w14:paraId="76D902EF">
      <w:pPr>
        <w:spacing w:before="100" w:beforeLines="0" w:after="100" w:afterLines="0"/>
        <w:jc w:val="center"/>
        <w:rPr>
          <w:rFonts w:hint="eastAsia" w:ascii="宋体" w:hAnsi="宋体"/>
          <w:sz w:val="24"/>
          <w:szCs w:val="24"/>
          <w:lang w:val="zh-CN"/>
        </w:rPr>
      </w:pPr>
    </w:p>
    <w:p w14:paraId="7E95A15A">
      <w:pPr>
        <w:spacing w:before="100" w:beforeLines="0" w:after="100" w:afterLines="0"/>
        <w:jc w:val="center"/>
        <w:rPr>
          <w:rFonts w:hint="eastAsia" w:ascii="宋体" w:hAnsi="宋体"/>
          <w:sz w:val="24"/>
          <w:szCs w:val="24"/>
          <w:lang w:val="zh-CN"/>
        </w:rPr>
      </w:pPr>
    </w:p>
    <w:p w14:paraId="18EF0CFD">
      <w:pPr>
        <w:spacing w:before="100" w:beforeLines="0" w:after="100" w:afterLines="0"/>
        <w:jc w:val="center"/>
        <w:rPr>
          <w:rFonts w:hint="eastAsia" w:ascii="宋体" w:hAnsi="宋体"/>
          <w:sz w:val="24"/>
          <w:szCs w:val="24"/>
          <w:lang w:val="zh-CN"/>
        </w:rPr>
      </w:pPr>
    </w:p>
    <w:p w14:paraId="3C2C0BF4">
      <w:pPr>
        <w:spacing w:before="100" w:beforeLines="0" w:after="100" w:afterLines="0"/>
        <w:jc w:val="center"/>
        <w:rPr>
          <w:rFonts w:hint="eastAsia" w:ascii="宋体" w:hAnsi="宋体"/>
          <w:sz w:val="24"/>
          <w:szCs w:val="24"/>
          <w:lang w:val="zh-CN"/>
        </w:rPr>
      </w:pPr>
    </w:p>
    <w:p w14:paraId="0AA3C663">
      <w:pPr>
        <w:spacing w:before="100" w:beforeLines="0" w:after="100" w:afterLines="0"/>
        <w:jc w:val="center"/>
        <w:rPr>
          <w:rFonts w:hint="eastAsia" w:ascii="宋体" w:hAnsi="宋体"/>
          <w:sz w:val="24"/>
          <w:szCs w:val="24"/>
          <w:lang w:val="zh-CN"/>
        </w:rPr>
      </w:pPr>
    </w:p>
    <w:p w14:paraId="5903A6A3">
      <w:pPr>
        <w:keepNext w:val="0"/>
        <w:keepLines w:val="0"/>
        <w:pageBreakBefore w:val="0"/>
        <w:kinsoku/>
        <w:wordWrap/>
        <w:overflowPunct/>
        <w:topLinePunct w:val="0"/>
        <w:autoSpaceDE/>
        <w:autoSpaceDN/>
        <w:bidi w:val="0"/>
        <w:adjustRightInd/>
        <w:snapToGrid/>
        <w:spacing w:before="100" w:beforeLines="0" w:after="100" w:afterLines="0" w:line="600" w:lineRule="exact"/>
        <w:ind w:firstLine="480" w:firstLineChars="200"/>
        <w:jc w:val="left"/>
        <w:textAlignment w:val="auto"/>
        <w:rPr>
          <w:rFonts w:hint="eastAsia" w:ascii="宋体" w:hAnsi="宋体"/>
          <w:sz w:val="24"/>
          <w:szCs w:val="24"/>
          <w:lang w:val="zh-CN"/>
        </w:rPr>
      </w:pPr>
    </w:p>
    <w:p w14:paraId="6F58894C">
      <w:pPr>
        <w:spacing w:before="100" w:beforeLines="0" w:after="100" w:afterLines="0"/>
        <w:jc w:val="center"/>
        <w:rPr>
          <w:rFonts w:hint="eastAsia" w:ascii="宋体" w:hAnsi="宋体"/>
          <w:sz w:val="24"/>
          <w:szCs w:val="24"/>
          <w:lang w:val="zh-CN"/>
        </w:rPr>
      </w:pPr>
    </w:p>
    <w:p w14:paraId="2D91EF3D">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3" w:firstLineChars="200"/>
        <w:jc w:val="center"/>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目录</w:t>
      </w:r>
    </w:p>
    <w:p w14:paraId="7538B0E8">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第一部分部门概况</w:t>
      </w:r>
    </w:p>
    <w:p w14:paraId="1625BE6F">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一、部门职责</w:t>
      </w:r>
    </w:p>
    <w:p w14:paraId="38B7363D">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14:paraId="3285E06D">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14:paraId="44B81025">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42B88A19">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24CADAC7">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1B88C60D">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175811CC">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2883EFAD">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605CCD04">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14:paraId="24A43F23">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4EAA08CA">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三公</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经费支出决算表</w:t>
      </w:r>
    </w:p>
    <w:p w14:paraId="0E68A0FE">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05A26A90">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一、收入支出决算总体情况说明</w:t>
      </w:r>
    </w:p>
    <w:p w14:paraId="6D2C2411">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二、收入决算情况说明</w:t>
      </w:r>
    </w:p>
    <w:p w14:paraId="493529A4">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三、支出决算情况说明</w:t>
      </w:r>
    </w:p>
    <w:p w14:paraId="00CE7C4F">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四、财政拨款收入支出决算总体情况说明</w:t>
      </w:r>
    </w:p>
    <w:p w14:paraId="2A02B8DC">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五、一般公共预算财政拨款支出决算情况说明</w:t>
      </w:r>
    </w:p>
    <w:p w14:paraId="2FE6C19D">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六、一般公共预算财政拨款基本支出决算情况说明</w:t>
      </w:r>
    </w:p>
    <w:p w14:paraId="76DE5378">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七、政府性基金预算财政拨款收支决算情况说明</w:t>
      </w:r>
    </w:p>
    <w:p w14:paraId="1B5A12F4">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八、国有资本经营预算财政拨款支出情况说明</w:t>
      </w:r>
    </w:p>
    <w:p w14:paraId="6C7872FD">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九、财政拨款</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三公</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经费支出决算情况说明</w:t>
      </w:r>
    </w:p>
    <w:p w14:paraId="07C2F911">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十、机关运行经费支出情况说明</w:t>
      </w:r>
    </w:p>
    <w:p w14:paraId="225605C0">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十一、政府采购支出情况说明</w:t>
      </w:r>
    </w:p>
    <w:p w14:paraId="529428B7">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十二、国有资产占用情况说明</w:t>
      </w:r>
    </w:p>
    <w:p w14:paraId="7E4D2679">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十三、其他需要说明的情况</w:t>
      </w:r>
    </w:p>
    <w:p w14:paraId="6D78DD84">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第四部分预算绩效情况说明</w:t>
      </w:r>
    </w:p>
    <w:p w14:paraId="2EC2F43C">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第五部分名词解释</w:t>
      </w:r>
    </w:p>
    <w:p w14:paraId="33F56918">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p>
    <w:p w14:paraId="4E4B9A84">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p>
    <w:p w14:paraId="011DDAF6">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p>
    <w:p w14:paraId="0E762AA2">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p>
    <w:p w14:paraId="1B50309E">
      <w:pPr>
        <w:spacing w:before="100" w:beforeLines="0" w:after="100" w:afterLines="0"/>
        <w:jc w:val="center"/>
        <w:rPr>
          <w:rFonts w:hint="eastAsia" w:ascii="宋体" w:hAnsi="宋体"/>
          <w:sz w:val="24"/>
          <w:szCs w:val="24"/>
          <w:lang w:val="zh-CN"/>
        </w:rPr>
      </w:pPr>
    </w:p>
    <w:p w14:paraId="04660108">
      <w:pPr>
        <w:spacing w:before="100" w:beforeLines="0" w:after="100" w:afterLines="0"/>
        <w:jc w:val="center"/>
        <w:rPr>
          <w:rFonts w:hint="eastAsia" w:ascii="宋体" w:hAnsi="宋体"/>
          <w:sz w:val="24"/>
          <w:szCs w:val="24"/>
          <w:lang w:val="zh-CN"/>
        </w:rPr>
      </w:pPr>
    </w:p>
    <w:p w14:paraId="7AAF469D">
      <w:pPr>
        <w:pageBreakBefore w:val="0"/>
        <w:kinsoku/>
        <w:wordWrap/>
        <w:overflowPunct/>
        <w:topLinePunct w:val="0"/>
        <w:autoSpaceDE/>
        <w:autoSpaceDN/>
        <w:bidi w:val="0"/>
        <w:adjustRightInd/>
        <w:snapToGrid/>
        <w:spacing w:line="600" w:lineRule="exact"/>
        <w:ind w:firstLine="480" w:firstLineChars="200"/>
        <w:jc w:val="both"/>
        <w:textAlignment w:val="auto"/>
        <w:rPr>
          <w:rFonts w:hint="eastAsia" w:ascii="宋体" w:hAnsi="宋体"/>
          <w:sz w:val="24"/>
          <w:szCs w:val="24"/>
          <w:lang w:val="zh-CN"/>
        </w:rPr>
      </w:pPr>
    </w:p>
    <w:p w14:paraId="61BCC7D2">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rPr>
      </w:pPr>
      <w:r>
        <w:rPr>
          <w:rFonts w:hint="eastAsia" w:ascii="方正小标宋简体" w:hAnsi="方正小标宋简体" w:eastAsia="方正小标宋简体" w:cs="方正小标宋简体"/>
          <w:b w:val="0"/>
          <w:bCs/>
          <w:color w:val="auto"/>
          <w:sz w:val="44"/>
          <w:szCs w:val="44"/>
          <w:lang w:val="zh-CN"/>
        </w:rPr>
        <w:t>第一部分部门概况</w:t>
      </w:r>
    </w:p>
    <w:p w14:paraId="1F47410E">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rPr>
      </w:pPr>
      <w:r>
        <w:rPr>
          <w:rFonts w:hint="eastAsia" w:ascii="黑体" w:hAnsi="黑体" w:eastAsia="黑体" w:cs="黑体"/>
          <w:color w:val="auto"/>
          <w:sz w:val="32"/>
          <w:szCs w:val="32"/>
          <w:lang w:val="zh-CN"/>
        </w:rPr>
        <w:t>一、部门职责</w:t>
      </w:r>
    </w:p>
    <w:p w14:paraId="4F7CC57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（一）拟订全县创新驱动发展战略方针以及科技发展、引进国外智力规划和政策并组织实施。</w:t>
      </w:r>
    </w:p>
    <w:p w14:paraId="5172E2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二）统筹推进全县科技体制改革，会同有关部门健全技术创新激励机制。优化科研体系建设，指导科研机构改革发展，推动企业科技创新能力建设，承担推进科技军民融合发展相关工作，推进全县重大科技决策咨询制度建设。</w:t>
      </w:r>
    </w:p>
    <w:p w14:paraId="78663C2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三）配合国家科技管理平台和科研项目资金协调、评估、监管机制建设。会同有关部门提出优化配置科技资源的政策措施建议，推动多元化科技投入体系建设，协调管理财政科技计划（专项、基金等）并监督实施。</w:t>
      </w:r>
    </w:p>
    <w:p w14:paraId="61BC0C9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四）拟订全县基础研究规划、政策和标准并组织实施，组织协调全县重大基础研究和应用基础研究。拟订科技创新基地建设规划并监督实施，参与编制科技基础设施建设规划和监督实施，牵头组织重点实验室建设，推动科研条件保障建设和科技资源开放共享。</w:t>
      </w:r>
    </w:p>
    <w:p w14:paraId="27F7AE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（五）编制全县科技项目规划并监督实施，统筹关键共性技术、前沿引领技术、现代工程技术、颠覆性技术研发和创新，牵头组织技术攻关和成果应用示范。</w:t>
      </w:r>
    </w:p>
    <w:p w14:paraId="51EE29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（六）组织拟订高新技术发展及产业化、科技促进农业农村和社会发展的规划、政策和措施。组织开展重点领域技术发展需求分析，提出项目任务并监督实施。</w:t>
      </w:r>
    </w:p>
    <w:p w14:paraId="66330A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（七）牵头全县技术转移体系建设，拟订科技成果转移转化和促进产学研结合的相关政策措施并监督实施。指导科技服务业、技术市场和科技中介组织发展。</w:t>
      </w:r>
    </w:p>
    <w:p w14:paraId="3D1B3A7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（八）统筹全县科技创新体系建设，指导全县创新发展、科技资源合理布局和协同创新能力建设，推动科技园区建设。</w:t>
      </w:r>
    </w:p>
    <w:p w14:paraId="438DCE2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（九）负责科技监督评价体系建设和相关科技评估管理，指导科技评价机制改革，统筹科研诚信建设。组织实施全县创新调查和科技报告制度，指导全县科技保密工作。</w:t>
      </w:r>
    </w:p>
    <w:p w14:paraId="61A0F6E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（十）拟订科技对外交往与创新能力开放合作的规划、政策和措施，组织开展对外科技合作与科技人才交流。指导相关部门开展对外科技合作与科技人才交流工作。</w:t>
      </w:r>
    </w:p>
    <w:p w14:paraId="467446F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（十一）负责引进国外智力工作。拟订全县引进外国专家总体规划、计划并组织实施，指导全县引进国（境）外人才和智力工作。</w:t>
      </w:r>
    </w:p>
    <w:p w14:paraId="740422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（十二）会同有关部门拟订科技人才队伍建设规划和政策，建立健全科技人才评价和激励机制，组织实施科技人才计划，推动高端科技创新人才队伍建设。拟订科学普及和科学传播规划、政策。</w:t>
      </w:r>
    </w:p>
    <w:p w14:paraId="5400B0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十三）负责全县科技项目的考察、论证、立项和组织实施，组织科技成果登记、管理和激励；负责华池县科学技术奖的评审组织工作；负责科技创新主体培育、认定及相关补助资金发放；负责落实科技经费，并做好监督工作。</w:t>
      </w:r>
    </w:p>
    <w:p w14:paraId="5421548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（十四）组织实施全县科技特派员基层创业行动，做好科技特派员的选派和工作指导、督查及业绩评估奖惩等工作。</w:t>
      </w:r>
    </w:p>
    <w:p w14:paraId="5D9006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（十五）负责全县科技宣传培训工作，提高全民科技素质；负责全县科技信息发布、更新工作，及时为全县工农业生产提供政策、科技、市场等信息服务。</w:t>
      </w:r>
    </w:p>
    <w:p w14:paraId="04D75D2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（十六）</w:t>
      </w:r>
      <w:r>
        <w:rPr>
          <w:rFonts w:hint="eastAsia" w:ascii="仿宋_GB2312" w:hAnsi="仿宋_GB2312" w:eastAsia="仿宋_GB2312" w:cs="仿宋_GB2312"/>
          <w:bCs/>
          <w:color w:val="auto"/>
          <w:sz w:val="32"/>
          <w:szCs w:val="32"/>
          <w:lang w:val="en-US" w:eastAsia="zh-CN" w:bidi="ar-SA"/>
        </w:rPr>
        <w:t>完成县委、县政府和市科学技术局交办的其他任务</w:t>
      </w:r>
      <w:r>
        <w:rPr>
          <w:rFonts w:hint="eastAsia" w:ascii="仿宋_GB2312" w:hAnsi="仿宋_GB2312" w:eastAsia="仿宋_GB2312" w:cs="仿宋_GB2312"/>
          <w:color w:val="auto"/>
          <w:sz w:val="32"/>
          <w:szCs w:val="32"/>
          <w:lang w:val="en-US" w:eastAsia="zh-CN" w:bidi="ar-SA"/>
        </w:rPr>
        <w:t>。</w:t>
      </w:r>
    </w:p>
    <w:p w14:paraId="1C776B51">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color w:val="auto"/>
          <w:spacing w:val="-6"/>
          <w:sz w:val="32"/>
          <w:szCs w:val="32"/>
          <w:lang w:val="en-US" w:eastAsia="zh-CN" w:bidi="ar-SA"/>
        </w:rPr>
      </w:pPr>
      <w:r>
        <w:rPr>
          <w:rFonts w:hint="eastAsia" w:ascii="仿宋_GB2312" w:hAnsi="仿宋_GB2312" w:eastAsia="仿宋_GB2312" w:cs="仿宋_GB2312"/>
          <w:color w:val="auto"/>
          <w:sz w:val="32"/>
          <w:szCs w:val="32"/>
          <w:lang w:val="en-US" w:eastAsia="zh-CN" w:bidi="ar-SA"/>
        </w:rPr>
        <w:t>（十七）职能转变。</w:t>
      </w:r>
      <w:r>
        <w:rPr>
          <w:rFonts w:hint="eastAsia" w:ascii="仿宋_GB2312" w:hAnsi="仿宋_GB2312" w:eastAsia="仿宋_GB2312" w:cs="仿宋_GB2312"/>
          <w:bCs/>
          <w:color w:val="auto"/>
          <w:spacing w:val="-6"/>
          <w:sz w:val="32"/>
          <w:szCs w:val="32"/>
          <w:lang w:val="en-US" w:eastAsia="zh-CN" w:bidi="ar-SA"/>
        </w:rPr>
        <w:t>县科技局要加强、优化、统筹全县科技管理和服务职能方面的能力建设。完善科技创新制度和组织体系，加强宏观管理、统筹协调和科研诚信建设。从研发管理向创新服务转变，深入推进科技计划管理改革。加强科研机构的规划布局、改革发展、宏观管理和绩效评价。进一步改进科技人才评价机制，建立健全以创新能力、质量、贡献、绩效为导向的科技人才评价体系和激励政策，统筹县内科技人才队伍建设和引进国外智力工作。</w:t>
      </w:r>
    </w:p>
    <w:p w14:paraId="467FEF3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rPr>
      </w:pPr>
      <w:r>
        <w:rPr>
          <w:rFonts w:hint="eastAsia" w:ascii="黑体" w:hAnsi="黑体" w:eastAsia="黑体" w:cs="黑体"/>
          <w:color w:val="auto"/>
          <w:sz w:val="32"/>
          <w:szCs w:val="32"/>
          <w:lang w:val="zh-CN"/>
        </w:rPr>
        <w:t>二、机构设置</w:t>
      </w:r>
    </w:p>
    <w:p w14:paraId="38A8C38C">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（一）办公室。负责机关文电、党建、财务、会务、机要、档案、外联、后勤等机关日常运转，承担信息、安全、保密、信访、政务公开、信息化、新闻宣传等工作。</w:t>
      </w:r>
    </w:p>
    <w:p w14:paraId="7F7DB5E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发展计划股。负责县列科技计划项目的考察、论证、立项和组织实施。协调国家、省、市科技项目的申报和衔接。负责全县科技体制建设，编制全县中长期科技发展规划和年度计划。负责科技创新主体培育、认定及相关补助资金发放，做好项目经费的管理和使用。组织科技成果登记、管理和激励，科技成果推广。协调乡镇、部门、院校、企业开展科技合作。负责科技特派员选派、督察、指导、考核和奖惩工作。负责全县科技宣传培训工作。</w:t>
      </w:r>
    </w:p>
    <w:p w14:paraId="62086989">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引智办。协助聘请国（境）外专家开展技术咨询和业务指导等服务。派出工程技术和管理人员到国（境）进行专项技术技能培训实习和交流合作。协助有关部门与国（境）外有关组织开展国际人才智力交流活动。开展县内国际人才智力交流机构合作，引导、协助创建引智成果示范园（基地、工作站）及科技含量高、市场竞争力强的外向型骨干企业。协助市外专局完成县属聘外单位年检工作。</w:t>
      </w:r>
    </w:p>
    <w:p w14:paraId="30238BAA">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rPr>
      </w:pPr>
    </w:p>
    <w:p w14:paraId="01BE320D">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rPr>
      </w:pPr>
    </w:p>
    <w:p w14:paraId="71671392">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rPr>
      </w:pPr>
      <w:r>
        <w:rPr>
          <w:rFonts w:hint="eastAsia" w:ascii="方正小标宋简体" w:hAnsi="方正小标宋简体" w:eastAsia="方正小标宋简体" w:cs="方正小标宋简体"/>
          <w:b w:val="0"/>
          <w:bCs/>
          <w:color w:val="auto"/>
          <w:sz w:val="44"/>
          <w:szCs w:val="44"/>
          <w:lang w:val="zh-CN"/>
        </w:rPr>
        <w:t>第二部分2023年度部门决算表</w:t>
      </w:r>
    </w:p>
    <w:p w14:paraId="082AF03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p>
    <w:p w14:paraId="41E0DBA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0B92A7DB">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4495322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258BB6C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53C2C865">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1C78243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413AC781">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14:paraId="7618F46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554B361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三公</w:t>
      </w:r>
      <w:r>
        <w:rPr>
          <w:rFonts w:hint="default"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经费支出决算表</w:t>
      </w:r>
    </w:p>
    <w:p w14:paraId="2EE1354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rPr>
      </w:pPr>
    </w:p>
    <w:p w14:paraId="764BFECA">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rPr>
      </w:pPr>
      <w:r>
        <w:rPr>
          <w:rFonts w:hint="eastAsia" w:ascii="方正小标宋简体" w:hAnsi="方正小标宋简体" w:eastAsia="方正小标宋简体" w:cs="方正小标宋简体"/>
          <w:b w:val="0"/>
          <w:bCs/>
          <w:color w:val="auto"/>
          <w:sz w:val="44"/>
          <w:szCs w:val="44"/>
          <w:lang w:val="zh-CN"/>
        </w:rPr>
        <w:t>第三部分2023年度部门决算情况说明</w:t>
      </w:r>
    </w:p>
    <w:p w14:paraId="20D530B9">
      <w:pPr>
        <w:keepNext w:val="0"/>
        <w:keepLines w:val="0"/>
        <w:pageBreakBefore w:val="0"/>
        <w:widowControl/>
        <w:kinsoku/>
        <w:wordWrap/>
        <w:overflowPunct/>
        <w:topLinePunct w:val="0"/>
        <w:autoSpaceDE/>
        <w:autoSpaceDN/>
        <w:bidi w:val="0"/>
        <w:adjustRightInd/>
        <w:snapToGrid/>
        <w:spacing w:line="600" w:lineRule="exact"/>
        <w:ind w:firstLine="482" w:firstLineChars="200"/>
        <w:jc w:val="both"/>
        <w:textAlignment w:val="auto"/>
        <w:rPr>
          <w:rFonts w:hint="eastAsia" w:ascii="宋体" w:hAnsi="宋体"/>
          <w:b/>
          <w:bCs/>
          <w:color w:val="auto"/>
          <w:sz w:val="24"/>
          <w:szCs w:val="24"/>
          <w:lang w:val="zh-CN" w:eastAsia="zh-CN"/>
        </w:rPr>
      </w:pPr>
    </w:p>
    <w:p w14:paraId="1A4265A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一、收入支出决算总体情况说明</w:t>
      </w:r>
    </w:p>
    <w:p w14:paraId="0A0B7BDC">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eastAsia="zh-CN"/>
        </w:rPr>
        <w:t>2023年度收、支总计</w:t>
      </w:r>
      <w:r>
        <w:rPr>
          <w:rFonts w:hint="eastAsia" w:ascii="仿宋_GB2312" w:hAnsi="仿宋_GB2312" w:eastAsia="仿宋_GB2312" w:cs="仿宋_GB2312"/>
          <w:color w:val="auto"/>
          <w:sz w:val="32"/>
          <w:szCs w:val="32"/>
          <w:lang w:val="en-US" w:eastAsia="zh-CN"/>
        </w:rPr>
        <w:t>均为</w:t>
      </w:r>
      <w:r>
        <w:rPr>
          <w:rFonts w:hint="eastAsia" w:ascii="仿宋_GB2312" w:hAnsi="仿宋_GB2312" w:eastAsia="仿宋_GB2312" w:cs="仿宋_GB2312"/>
          <w:color w:val="auto"/>
          <w:sz w:val="32"/>
          <w:szCs w:val="32"/>
          <w:lang w:val="zh-CN" w:eastAsia="zh-CN"/>
        </w:rPr>
        <w:t>1017.31万元。</w:t>
      </w:r>
      <w:r>
        <w:rPr>
          <w:rFonts w:hint="eastAsia" w:ascii="仿宋_GB2312" w:hAnsi="仿宋_GB2312" w:eastAsia="仿宋_GB2312" w:cs="仿宋_GB2312"/>
          <w:color w:val="auto"/>
          <w:sz w:val="32"/>
          <w:szCs w:val="32"/>
          <w:lang w:val="en-US" w:eastAsia="zh-CN"/>
        </w:rPr>
        <w:t>与上年度相比,</w:t>
      </w:r>
      <w:r>
        <w:rPr>
          <w:rFonts w:hint="eastAsia" w:ascii="仿宋_GB2312" w:hAnsi="仿宋_GB2312" w:eastAsia="仿宋_GB2312" w:cs="仿宋_GB2312"/>
          <w:color w:val="auto"/>
          <w:sz w:val="32"/>
          <w:szCs w:val="32"/>
          <w:lang w:val="zh-CN" w:eastAsia="zh-CN"/>
        </w:rPr>
        <w:t>收、支</w:t>
      </w:r>
      <w:r>
        <w:rPr>
          <w:rFonts w:hint="eastAsia" w:ascii="仿宋_GB2312" w:hAnsi="仿宋_GB2312" w:eastAsia="仿宋_GB2312" w:cs="仿宋_GB2312"/>
          <w:color w:val="auto"/>
          <w:sz w:val="32"/>
          <w:szCs w:val="32"/>
          <w:lang w:val="en-US" w:eastAsia="zh-CN"/>
        </w:rPr>
        <w:t>总计各</w:t>
      </w:r>
      <w:r>
        <w:rPr>
          <w:rFonts w:hint="eastAsia" w:ascii="仿宋_GB2312" w:hAnsi="仿宋_GB2312" w:eastAsia="仿宋_GB2312" w:cs="仿宋_GB2312"/>
          <w:color w:val="auto"/>
          <w:sz w:val="32"/>
          <w:szCs w:val="32"/>
          <w:lang w:val="zh-CN" w:eastAsia="zh-CN"/>
        </w:rPr>
        <w:t>减少3519.87万元,下降77.58%,主要原因是</w:t>
      </w:r>
      <w:r>
        <w:rPr>
          <w:rFonts w:hint="eastAsia" w:ascii="仿宋_GB2312" w:hAnsi="仿宋_GB2312" w:eastAsia="仿宋_GB2312" w:cs="仿宋_GB2312"/>
          <w:color w:val="auto"/>
          <w:sz w:val="32"/>
          <w:szCs w:val="32"/>
          <w:lang w:val="en-US" w:eastAsia="zh-CN"/>
        </w:rPr>
        <w:t>2022年度单位项目资金支出增幅较大，2022年拨入中省市财政衔接推进乡村振兴补助资金8966500元；拨入2022年第一批天津东西部协作帮扶资金13300000元；拨入2022年中央专项彩票公益金支持欠发达革命老区乡村振兴资金15250000元；另拨入省市科技计划项目、“强科技”奖补、科技创新奖补等资金3380000元，2023年以上项目未下达，致使2023年财政拨款收入有较大下降。</w:t>
      </w:r>
    </w:p>
    <w:p w14:paraId="54B5EA3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二、收入决算情况说明</w:t>
      </w:r>
    </w:p>
    <w:p w14:paraId="44D3EDBC">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2023年度收入合计891.49万元,其中：财政拨款收入791.49万元,占88.78%；</w:t>
      </w:r>
      <w:r>
        <w:rPr>
          <w:rFonts w:hint="eastAsia" w:ascii="仿宋_GB2312" w:hAnsi="仿宋_GB2312" w:eastAsia="仿宋_GB2312" w:cs="仿宋_GB2312"/>
          <w:color w:val="auto"/>
          <w:sz w:val="32"/>
          <w:szCs w:val="32"/>
          <w:lang w:val="en-US"/>
        </w:rPr>
        <w:t>其他</w:t>
      </w:r>
      <w:r>
        <w:rPr>
          <w:rFonts w:hint="eastAsia" w:ascii="仿宋_GB2312" w:hAnsi="仿宋_GB2312" w:eastAsia="仿宋_GB2312" w:cs="仿宋_GB2312"/>
          <w:color w:val="auto"/>
          <w:sz w:val="32"/>
          <w:szCs w:val="32"/>
          <w:lang w:val="zh-CN"/>
        </w:rPr>
        <w:t>收入100.00万元,占11.22%。</w:t>
      </w:r>
    </w:p>
    <w:p w14:paraId="1EAA09E6">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三、支出决算情况说明</w:t>
      </w:r>
    </w:p>
    <w:p w14:paraId="181F78AA">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color w:val="auto"/>
          <w:sz w:val="24"/>
          <w:szCs w:val="24"/>
          <w:lang w:val="zh-CN"/>
        </w:rPr>
      </w:pPr>
      <w:r>
        <w:rPr>
          <w:rFonts w:hint="eastAsia" w:ascii="仿宋_GB2312" w:hAnsi="仿宋_GB2312" w:eastAsia="仿宋_GB2312" w:cs="仿宋_GB2312"/>
          <w:color w:val="auto"/>
          <w:sz w:val="32"/>
          <w:szCs w:val="32"/>
          <w:lang w:val="zh-CN"/>
        </w:rPr>
        <w:t>2023年度支出合计1017.31万元,其中：基本支出293.27万元,占28.83%；项目支出724.05万元,占71.17%。</w:t>
      </w:r>
    </w:p>
    <w:p w14:paraId="3F862F64">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四、财政拨款收入支出决算总体情况说明</w:t>
      </w:r>
    </w:p>
    <w:p w14:paraId="6080B634">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791.49万元。与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年相比,各减少2415.7万元,下降75.32%。主要原因是</w:t>
      </w:r>
      <w:r>
        <w:rPr>
          <w:rFonts w:hint="eastAsia" w:ascii="仿宋_GB2312" w:hAnsi="仿宋_GB2312" w:eastAsia="仿宋_GB2312" w:cs="仿宋_GB2312"/>
          <w:color w:val="auto"/>
          <w:sz w:val="32"/>
          <w:szCs w:val="32"/>
          <w:lang w:val="en-US" w:eastAsia="zh-CN"/>
        </w:rPr>
        <w:t>2022年拨入中省市财政衔接推进乡村振兴补助资金8966500元；拨入2022年中央专项彩票公益金支持欠发达革命老区乡村振兴资金15250000元；另拨入省市科技计划项目、“强科技”奖补、科技创新奖补等资金3380000元，2023年以上项目均未下达，致使2023年财政拨款收入、支出下降较大。</w:t>
      </w:r>
    </w:p>
    <w:p w14:paraId="1D606597">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五、一般公共预算财政拨款支出决算情况说明</w:t>
      </w:r>
    </w:p>
    <w:p w14:paraId="1776AD5A">
      <w:pPr>
        <w:pageBreakBefore w:val="0"/>
        <w:kinsoku/>
        <w:wordWrap/>
        <w:overflowPunct/>
        <w:topLinePunct w:val="0"/>
        <w:autoSpaceDE/>
        <w:autoSpaceDN/>
        <w:bidi w:val="0"/>
        <w:adjustRightInd/>
        <w:snapToGrid/>
        <w:spacing w:line="600" w:lineRule="exact"/>
        <w:ind w:firstLine="641" w:firstLineChars="200"/>
        <w:jc w:val="both"/>
        <w:textAlignment w:val="auto"/>
        <w:rPr>
          <w:rFonts w:hint="eastAsia" w:ascii="华文楷体" w:hAnsi="华文楷体" w:eastAsia="华文楷体" w:cs="华文楷体"/>
          <w:b/>
          <w:bCs/>
          <w:color w:val="auto"/>
          <w:sz w:val="32"/>
          <w:szCs w:val="32"/>
          <w:lang w:val="zh-CN"/>
        </w:rPr>
      </w:pPr>
      <w:r>
        <w:rPr>
          <w:rFonts w:hint="eastAsia" w:ascii="华文楷体" w:hAnsi="华文楷体" w:eastAsia="华文楷体" w:cs="华文楷体"/>
          <w:b/>
          <w:bCs/>
          <w:color w:val="auto"/>
          <w:sz w:val="32"/>
          <w:szCs w:val="32"/>
          <w:lang w:val="zh-CN"/>
        </w:rPr>
        <w:t>（一）一般公共预算财政拨款支出决算总体情况</w:t>
      </w:r>
    </w:p>
    <w:p w14:paraId="40D9889E">
      <w:pPr>
        <w:pageBreakBefore w:val="0"/>
        <w:kinsoku/>
        <w:wordWrap/>
        <w:overflowPunct/>
        <w:topLinePunct w:val="0"/>
        <w:autoSpaceDE/>
        <w:autoSpaceDN/>
        <w:bidi w:val="0"/>
        <w:adjustRightInd/>
        <w:snapToGrid/>
        <w:spacing w:line="600" w:lineRule="exact"/>
        <w:ind w:firstLine="640" w:firstLineChars="200"/>
        <w:jc w:val="both"/>
        <w:textAlignment w:val="auto"/>
        <w:rPr>
          <w:rFonts w:hint="default" w:ascii="宋体" w:hAnsi="宋体"/>
          <w:color w:val="FF0000"/>
          <w:sz w:val="24"/>
          <w:szCs w:val="24"/>
          <w:lang w:val="en-US"/>
        </w:rPr>
      </w:pPr>
      <w:r>
        <w:rPr>
          <w:rFonts w:hint="eastAsia" w:ascii="仿宋_GB2312" w:hAnsi="仿宋_GB2312" w:eastAsia="仿宋_GB2312" w:cs="仿宋_GB2312"/>
          <w:color w:val="auto"/>
          <w:sz w:val="32"/>
          <w:szCs w:val="32"/>
          <w:lang w:val="zh-CN"/>
        </w:rPr>
        <w:t>2023年度一般公共预算财政拨款支出791.49万元,较上年决算数减少820.2万元,下降50.89%。</w:t>
      </w:r>
      <w:r>
        <w:rPr>
          <w:rFonts w:hint="eastAsia" w:ascii="仿宋_GB2312" w:hAnsi="仿宋_GB2312" w:eastAsia="仿宋_GB2312" w:cs="仿宋_GB2312"/>
          <w:color w:val="auto"/>
          <w:sz w:val="32"/>
          <w:szCs w:val="32"/>
          <w:lang w:val="zh-CN" w:eastAsia="zh-CN"/>
        </w:rPr>
        <w:t>主要原因是</w:t>
      </w:r>
      <w:r>
        <w:rPr>
          <w:rFonts w:hint="eastAsia" w:ascii="仿宋_GB2312" w:hAnsi="仿宋_GB2312" w:eastAsia="仿宋_GB2312" w:cs="仿宋_GB2312"/>
          <w:color w:val="auto"/>
          <w:sz w:val="32"/>
          <w:szCs w:val="32"/>
          <w:lang w:val="en-US" w:eastAsia="zh-CN"/>
        </w:rPr>
        <w:t>2022年拨入中省市财政衔接推进乡村振兴补助资金8966500元，拨入省市科技计划项目、“强科技”奖补、科技创新奖补等资金3380000元，以上项目2023年均未下达实施，致使2023年财政拨款收入、支出下降较大。</w:t>
      </w:r>
    </w:p>
    <w:p w14:paraId="34C93378">
      <w:pPr>
        <w:pageBreakBefore w:val="0"/>
        <w:kinsoku/>
        <w:wordWrap/>
        <w:overflowPunct/>
        <w:topLinePunct w:val="0"/>
        <w:autoSpaceDE/>
        <w:autoSpaceDN/>
        <w:bidi w:val="0"/>
        <w:adjustRightInd/>
        <w:snapToGrid/>
        <w:spacing w:line="600" w:lineRule="exact"/>
        <w:ind w:firstLine="641" w:firstLineChars="200"/>
        <w:jc w:val="both"/>
        <w:textAlignment w:val="auto"/>
        <w:rPr>
          <w:rFonts w:hint="eastAsia" w:ascii="华文楷体" w:hAnsi="华文楷体" w:eastAsia="华文楷体" w:cs="华文楷体"/>
          <w:b/>
          <w:bCs/>
          <w:color w:val="auto"/>
          <w:sz w:val="32"/>
          <w:szCs w:val="32"/>
          <w:lang w:val="zh-CN"/>
        </w:rPr>
      </w:pPr>
      <w:r>
        <w:rPr>
          <w:rFonts w:hint="eastAsia" w:ascii="华文楷体" w:hAnsi="华文楷体" w:eastAsia="华文楷体" w:cs="华文楷体"/>
          <w:b/>
          <w:bCs/>
          <w:color w:val="auto"/>
          <w:sz w:val="32"/>
          <w:szCs w:val="32"/>
          <w:lang w:val="zh-CN"/>
        </w:rPr>
        <w:t>（</w:t>
      </w:r>
      <w:r>
        <w:rPr>
          <w:rFonts w:hint="eastAsia" w:ascii="华文楷体" w:hAnsi="华文楷体" w:eastAsia="华文楷体" w:cs="华文楷体"/>
          <w:b/>
          <w:bCs/>
          <w:color w:val="auto"/>
          <w:sz w:val="32"/>
          <w:szCs w:val="32"/>
          <w:lang w:val="en-US" w:eastAsia="zh-CN"/>
        </w:rPr>
        <w:t>二</w:t>
      </w:r>
      <w:r>
        <w:rPr>
          <w:rFonts w:hint="eastAsia" w:ascii="华文楷体" w:hAnsi="华文楷体" w:eastAsia="华文楷体" w:cs="华文楷体"/>
          <w:b/>
          <w:bCs/>
          <w:color w:val="auto"/>
          <w:sz w:val="32"/>
          <w:szCs w:val="32"/>
          <w:lang w:val="zh-CN"/>
        </w:rPr>
        <w:t>）一般公共预算财政拨款支出决算结构情况</w:t>
      </w:r>
    </w:p>
    <w:p w14:paraId="04CFE91B">
      <w:pPr>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color w:val="FF0000"/>
          <w:sz w:val="24"/>
          <w:szCs w:val="24"/>
          <w:lang w:val="zh-CN"/>
        </w:rPr>
      </w:pPr>
      <w:r>
        <w:rPr>
          <w:rFonts w:hint="eastAsia" w:ascii="仿宋_GB2312" w:hAnsi="仿宋_GB2312" w:eastAsia="仿宋_GB2312" w:cs="仿宋_GB2312"/>
          <w:color w:val="auto"/>
          <w:sz w:val="32"/>
          <w:szCs w:val="32"/>
          <w:lang w:val="en-US" w:eastAsia="zh-CN"/>
        </w:rPr>
        <w:t>2023年度一般公共预算财政拨款支出</w:t>
      </w:r>
      <w:r>
        <w:rPr>
          <w:rFonts w:hint="eastAsia" w:ascii="仿宋_GB2312" w:hAnsi="仿宋_GB2312" w:eastAsia="仿宋_GB2312" w:cs="仿宋_GB2312"/>
          <w:color w:val="auto"/>
          <w:sz w:val="32"/>
          <w:szCs w:val="32"/>
          <w:lang w:val="zh-CN"/>
        </w:rPr>
        <w:t>791.49万元，主要用于以下方面：一般公共服务支出0.01万元,占0.0%；科学技术支出743.27万元，占93.91%；社会保障和就业支出26.54万元,占3.35%；卫生健康支出13.43万元,占1.7%；农林水支出8.24万元,占1.04%。</w:t>
      </w:r>
    </w:p>
    <w:p w14:paraId="69C6C341">
      <w:pPr>
        <w:pageBreakBefore w:val="0"/>
        <w:kinsoku/>
        <w:wordWrap/>
        <w:overflowPunct/>
        <w:topLinePunct w:val="0"/>
        <w:autoSpaceDE/>
        <w:autoSpaceDN/>
        <w:bidi w:val="0"/>
        <w:adjustRightInd/>
        <w:snapToGrid/>
        <w:spacing w:line="600" w:lineRule="exact"/>
        <w:ind w:firstLine="641" w:firstLineChars="200"/>
        <w:jc w:val="both"/>
        <w:textAlignment w:val="auto"/>
        <w:rPr>
          <w:rFonts w:hint="eastAsia" w:ascii="华文楷体" w:hAnsi="华文楷体" w:eastAsia="华文楷体" w:cs="华文楷体"/>
          <w:b/>
          <w:bCs/>
          <w:color w:val="auto"/>
          <w:sz w:val="32"/>
          <w:szCs w:val="32"/>
          <w:lang w:val="zh-CN"/>
        </w:rPr>
      </w:pPr>
      <w:r>
        <w:rPr>
          <w:rFonts w:hint="eastAsia" w:ascii="华文楷体" w:hAnsi="华文楷体" w:eastAsia="华文楷体" w:cs="华文楷体"/>
          <w:b/>
          <w:bCs/>
          <w:color w:val="auto"/>
          <w:sz w:val="32"/>
          <w:szCs w:val="32"/>
          <w:lang w:val="zh-CN"/>
        </w:rPr>
        <w:t>（</w:t>
      </w:r>
      <w:r>
        <w:rPr>
          <w:rFonts w:hint="eastAsia" w:ascii="华文楷体" w:hAnsi="华文楷体" w:eastAsia="华文楷体" w:cs="华文楷体"/>
          <w:b/>
          <w:bCs/>
          <w:color w:val="auto"/>
          <w:sz w:val="32"/>
          <w:szCs w:val="32"/>
          <w:lang w:val="en-US" w:eastAsia="zh-CN"/>
        </w:rPr>
        <w:t>三</w:t>
      </w:r>
      <w:r>
        <w:rPr>
          <w:rFonts w:hint="eastAsia" w:ascii="华文楷体" w:hAnsi="华文楷体" w:eastAsia="华文楷体" w:cs="华文楷体"/>
          <w:b/>
          <w:bCs/>
          <w:color w:val="auto"/>
          <w:sz w:val="32"/>
          <w:szCs w:val="32"/>
          <w:lang w:val="zh-CN"/>
        </w:rPr>
        <w:t>）一般公共预算财政拨款支出决算具体情况。</w:t>
      </w:r>
    </w:p>
    <w:p w14:paraId="71430D31">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2023年度一般公共预算财政拨款支出年初预算为</w:t>
      </w:r>
      <w:r>
        <w:rPr>
          <w:rFonts w:hint="eastAsia" w:ascii="仿宋_GB2312" w:hAnsi="仿宋_GB2312" w:eastAsia="仿宋_GB2312" w:cs="仿宋_GB2312"/>
          <w:color w:val="auto"/>
          <w:sz w:val="32"/>
          <w:szCs w:val="32"/>
          <w:lang w:val="zh-CN"/>
        </w:rPr>
        <w:t>392.62万元,支出决算为791.49万元,完成年初预算的201.59%。其中：</w:t>
      </w:r>
    </w:p>
    <w:p w14:paraId="1CB6D713">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1．一般公共服务支出</w:t>
      </w:r>
      <w:r>
        <w:rPr>
          <w:rFonts w:hint="eastAsia" w:ascii="仿宋_GB2312" w:hAnsi="仿宋_GB2312" w:eastAsia="仿宋_GB2312" w:cs="仿宋_GB2312"/>
          <w:color w:val="auto"/>
          <w:sz w:val="32"/>
          <w:szCs w:val="32"/>
          <w:lang w:val="zh-CN"/>
        </w:rPr>
        <w:t>年初预算数为0.00万元,支出决算为0.01万元,完成年初预算的%,决算数大于预算数的主要原因是</w:t>
      </w:r>
      <w:r>
        <w:rPr>
          <w:rFonts w:hint="eastAsia" w:ascii="仿宋_GB2312" w:hAnsi="仿宋_GB2312" w:eastAsia="仿宋_GB2312" w:cs="仿宋_GB2312"/>
          <w:color w:val="auto"/>
          <w:sz w:val="32"/>
          <w:szCs w:val="32"/>
          <w:lang w:val="en-US" w:eastAsia="zh-CN"/>
        </w:rPr>
        <w:t>2023年度下达“妇女两癌保险费”80元，此费用应下达至“206科学技术支出”，因财政科目下达有误导致。</w:t>
      </w:r>
    </w:p>
    <w:p w14:paraId="1C4D3009">
      <w:pPr>
        <w:pageBreakBefore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b/>
          <w:color w:val="auto"/>
          <w:sz w:val="32"/>
          <w:szCs w:val="32"/>
          <w:lang w:val="zh-CN"/>
        </w:rPr>
        <w:t>6</w:t>
      </w:r>
      <w:r>
        <w:rPr>
          <w:rFonts w:hint="eastAsia" w:ascii="仿宋_GB2312" w:hAnsi="仿宋_GB2312" w:eastAsia="仿宋_GB2312" w:cs="仿宋_GB2312"/>
          <w:b/>
          <w:color w:val="auto"/>
          <w:sz w:val="32"/>
          <w:szCs w:val="32"/>
          <w:lang w:val="zh-CN"/>
        </w:rPr>
        <w:t>．科学技术支出</w:t>
      </w:r>
      <w:r>
        <w:rPr>
          <w:rFonts w:hint="eastAsia" w:ascii="仿宋_GB2312" w:hAnsi="仿宋_GB2312" w:eastAsia="仿宋_GB2312" w:cs="仿宋_GB2312"/>
          <w:color w:val="auto"/>
          <w:sz w:val="32"/>
          <w:szCs w:val="32"/>
          <w:lang w:val="zh-CN"/>
        </w:rPr>
        <w:t>年初预算数为351.76万元,支出决算为743.27万元,完成年初预算的211.3%,决算数大于预算数的主要原因是</w:t>
      </w:r>
      <w:r>
        <w:rPr>
          <w:rFonts w:hint="eastAsia" w:ascii="仿宋_GB2312" w:hAnsi="仿宋_GB2312" w:eastAsia="仿宋_GB2312" w:cs="仿宋_GB2312"/>
          <w:color w:val="auto"/>
          <w:sz w:val="32"/>
          <w:szCs w:val="32"/>
          <w:lang w:val="en-US" w:eastAsia="zh-CN"/>
        </w:rPr>
        <w:t>2022年度结转125.83万元、</w:t>
      </w:r>
      <w:r>
        <w:rPr>
          <w:rFonts w:hint="eastAsia" w:ascii="仿宋_GB2312" w:hAnsi="仿宋_GB2312" w:eastAsia="仿宋_GB2312" w:cs="仿宋_GB2312"/>
          <w:color w:val="auto"/>
          <w:sz w:val="32"/>
          <w:szCs w:val="32"/>
          <w:lang w:val="zh-CN"/>
        </w:rPr>
        <w:t>甘财振兴[2022]4号关于下达2022年第一批东西部协作帮扶资金（华池县食用菌产业园建设-共建产业园区）、甘财预[2023]42号关于下达2023年均衡性转移支付预算的通知(强科技奖补）</w:t>
      </w:r>
      <w:r>
        <w:rPr>
          <w:rFonts w:hint="eastAsia" w:ascii="仿宋_GB2312" w:hAnsi="仿宋_GB2312" w:eastAsia="仿宋_GB2312" w:cs="仿宋_GB2312"/>
          <w:color w:val="auto"/>
          <w:sz w:val="32"/>
          <w:szCs w:val="32"/>
          <w:lang w:val="en-US" w:eastAsia="zh-CN"/>
        </w:rPr>
        <w:t>75万元</w:t>
      </w:r>
      <w:r>
        <w:rPr>
          <w:rFonts w:hint="eastAsia" w:ascii="仿宋_GB2312" w:hAnsi="仿宋_GB2312" w:eastAsia="仿宋_GB2312" w:cs="仿宋_GB2312"/>
          <w:color w:val="auto"/>
          <w:sz w:val="32"/>
          <w:szCs w:val="32"/>
          <w:lang w:val="zh-CN"/>
        </w:rPr>
        <w:t>、甘财振兴[2023]10号 关于2023年天津东西部协作资金（科技创新专项）</w:t>
      </w:r>
      <w:r>
        <w:rPr>
          <w:rFonts w:hint="eastAsia" w:ascii="仿宋_GB2312" w:hAnsi="仿宋_GB2312" w:eastAsia="仿宋_GB2312" w:cs="仿宋_GB2312"/>
          <w:color w:val="auto"/>
          <w:sz w:val="32"/>
          <w:szCs w:val="32"/>
          <w:lang w:val="en-US" w:eastAsia="zh-CN"/>
        </w:rPr>
        <w:t>100万元。</w:t>
      </w:r>
    </w:p>
    <w:p w14:paraId="043D725F">
      <w:pPr>
        <w:pageBreakBefore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b/>
          <w:color w:val="auto"/>
          <w:sz w:val="32"/>
          <w:szCs w:val="32"/>
          <w:lang w:val="zh-CN"/>
        </w:rPr>
        <w:t>8</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年初预算数为30.00万元,支出决算为26.54万元,完成年初预算的88.47%,决算数小于预算数的主要原因是</w:t>
      </w:r>
      <w:r>
        <w:rPr>
          <w:rFonts w:hint="eastAsia" w:ascii="仿宋_GB2312" w:hAnsi="仿宋_GB2312" w:eastAsia="仿宋_GB2312" w:cs="仿宋_GB2312"/>
          <w:color w:val="auto"/>
          <w:sz w:val="32"/>
          <w:szCs w:val="32"/>
          <w:lang w:val="en-US" w:eastAsia="zh-CN"/>
        </w:rPr>
        <w:t>2023年未支付职工养老保险2.459248万元、医疗保险2.715039万元 ，共计5.174287万元，此笔费用未计入决算。</w:t>
      </w:r>
    </w:p>
    <w:p w14:paraId="46A8D804">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b/>
          <w:color w:val="auto"/>
          <w:sz w:val="32"/>
          <w:szCs w:val="32"/>
          <w:lang w:val="zh-CN"/>
        </w:rPr>
        <w:t>9</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年初预算数为10.86万元,支出决算为13.43万元,完成年初预算的123.67%,决算数大于预算数的主要原因是单位新增人员</w:t>
      </w:r>
      <w:r>
        <w:rPr>
          <w:rFonts w:hint="eastAsia" w:ascii="仿宋_GB2312" w:hAnsi="仿宋_GB2312" w:eastAsia="仿宋_GB2312" w:cs="仿宋_GB2312"/>
          <w:color w:val="auto"/>
          <w:sz w:val="32"/>
          <w:szCs w:val="32"/>
          <w:lang w:val="en-US" w:eastAsia="zh-CN"/>
        </w:rPr>
        <w:t>1名。</w:t>
      </w:r>
    </w:p>
    <w:p w14:paraId="3B2EB5D0">
      <w:pPr>
        <w:pageBreakBefore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b/>
          <w:color w:val="auto"/>
          <w:sz w:val="32"/>
          <w:szCs w:val="32"/>
          <w:lang w:val="zh-CN"/>
        </w:rPr>
        <w:t>12</w:t>
      </w: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年初预算数为0.00万元,支出决算为8.24万元,完成年初预算的%,决算数大于预算数的主要原因是</w:t>
      </w:r>
      <w:r>
        <w:rPr>
          <w:rFonts w:hint="eastAsia" w:ascii="仿宋_GB2312" w:hAnsi="仿宋_GB2312" w:eastAsia="仿宋_GB2312" w:cs="仿宋_GB2312"/>
          <w:color w:val="auto"/>
          <w:sz w:val="32"/>
          <w:szCs w:val="32"/>
          <w:lang w:val="en-US" w:eastAsia="zh-CN"/>
        </w:rPr>
        <w:t>2023年度下达省级、县级驻村工作经费8.24万元。</w:t>
      </w:r>
    </w:p>
    <w:p w14:paraId="2075D2A1">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六、一般公共预算财政拨款基本支出决算情况说明</w:t>
      </w:r>
    </w:p>
    <w:p w14:paraId="746EB5B3">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color w:val="auto"/>
          <w:sz w:val="24"/>
          <w:szCs w:val="24"/>
          <w:lang w:val="zh-CN"/>
        </w:rPr>
      </w:pPr>
      <w:r>
        <w:rPr>
          <w:rFonts w:hint="eastAsia" w:ascii="仿宋_GB2312" w:hAnsi="仿宋_GB2312" w:eastAsia="仿宋_GB2312" w:cs="仿宋_GB2312"/>
          <w:color w:val="auto"/>
          <w:sz w:val="32"/>
          <w:szCs w:val="32"/>
          <w:lang w:val="zh-CN"/>
        </w:rPr>
        <w:t>2023年度一般公共预算财政拨款基本支出293.27万元。其中</w:t>
      </w:r>
      <w:r>
        <w:rPr>
          <w:rFonts w:hint="eastAsia" w:ascii="宋体" w:hAnsi="宋体"/>
          <w:color w:val="auto"/>
          <w:sz w:val="24"/>
          <w:szCs w:val="24"/>
          <w:lang w:val="zh-CN"/>
        </w:rPr>
        <w:t>：</w:t>
      </w:r>
    </w:p>
    <w:p w14:paraId="5A2C2EEC">
      <w:pPr>
        <w:keepNext w:val="0"/>
        <w:keepLines w:val="0"/>
        <w:pageBreakBefore w:val="0"/>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247.05万元,较上年决算数减少55.72万元,下降18.41%,主要原因是</w:t>
      </w:r>
      <w:r>
        <w:rPr>
          <w:rFonts w:hint="eastAsia" w:ascii="仿宋_GB2312" w:hAnsi="仿宋_GB2312" w:eastAsia="仿宋_GB2312" w:cs="仿宋_GB2312"/>
          <w:color w:val="auto"/>
          <w:sz w:val="32"/>
          <w:szCs w:val="32"/>
          <w:lang w:val="en-US" w:eastAsia="zh-CN"/>
        </w:rPr>
        <w:t>2023年退休1人</w:t>
      </w:r>
      <w:r>
        <w:rPr>
          <w:rFonts w:hint="eastAsia" w:ascii="仿宋_GB2312" w:hAnsi="仿宋_GB2312" w:eastAsia="仿宋_GB2312" w:cs="仿宋_GB2312"/>
          <w:color w:val="auto"/>
          <w:sz w:val="32"/>
          <w:szCs w:val="32"/>
          <w:lang w:val="zh-CN"/>
        </w:rPr>
        <w:t>。人员经费用途括基本工资、津贴补贴、奖金、机关事业单位基本养老保险缴费、职工基本医疗保险缴费、其他社会保障缴费、对个人和家庭的补助等。</w:t>
      </w:r>
    </w:p>
    <w:p w14:paraId="1C9E8DDD">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46.22万元,较上年决算数减少465.7万元,下降90.97%,主要原因是</w:t>
      </w:r>
      <w:r>
        <w:rPr>
          <w:rFonts w:hint="eastAsia" w:ascii="仿宋_GB2312" w:hAnsi="仿宋_GB2312" w:eastAsia="仿宋_GB2312" w:cs="仿宋_GB2312"/>
          <w:color w:val="auto"/>
          <w:sz w:val="32"/>
          <w:szCs w:val="32"/>
          <w:lang w:val="en-US" w:eastAsia="zh-CN"/>
        </w:rPr>
        <w:t>2022年“科技特派员生活补助”增加666000元，另2022年度职工人员工资、奖金类有所增加，亦致使职工养老保险、医疗保险、工伤失业保险等缴费基数增加，配套奖金增加。</w:t>
      </w:r>
      <w:r>
        <w:rPr>
          <w:rFonts w:hint="eastAsia" w:ascii="仿宋_GB2312" w:hAnsi="仿宋_GB2312" w:eastAsia="仿宋_GB2312" w:cs="仿宋_GB2312"/>
          <w:color w:val="auto"/>
          <w:sz w:val="32"/>
          <w:szCs w:val="32"/>
          <w:lang w:val="zh-CN"/>
        </w:rPr>
        <w:t>公用经费用途主要包括</w:t>
      </w:r>
      <w:r>
        <w:rPr>
          <w:rFonts w:hint="eastAsia" w:ascii="仿宋_GB2312" w:hAnsi="仿宋_GB2312" w:eastAsia="仿宋_GB2312" w:cs="仿宋_GB2312"/>
          <w:color w:val="auto"/>
          <w:sz w:val="32"/>
          <w:szCs w:val="32"/>
          <w:lang w:val="en-US" w:eastAsia="zh-CN"/>
        </w:rPr>
        <w:t>办公费、印刷费、手续费、水费、电费、邮电费、取暖费、差旅费、维修费、委托业务费、</w:t>
      </w:r>
      <w:r>
        <w:rPr>
          <w:rFonts w:hint="eastAsia" w:ascii="仿宋_GB2312" w:hAnsi="仿宋_GB2312" w:eastAsia="仿宋_GB2312" w:cs="仿宋_GB2312"/>
          <w:color w:val="auto"/>
          <w:sz w:val="32"/>
          <w:szCs w:val="32"/>
          <w:lang w:val="zh-CN"/>
        </w:rPr>
        <w:t>公务交通补贴。</w:t>
      </w:r>
    </w:p>
    <w:p w14:paraId="4859C7F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七、政府性基金预算财政拨款收支决算情况说明</w:t>
      </w:r>
    </w:p>
    <w:p w14:paraId="489586E7">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本部门2023年度无政府性基金收入,也没有使用政府性基金安排的支出。</w:t>
      </w:r>
    </w:p>
    <w:p w14:paraId="5864284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八、国有资本经营预算财政拨款支出情况说明</w:t>
      </w:r>
    </w:p>
    <w:p w14:paraId="5CB792C9">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本部门2023年度没有使用国有资本经营预算安排的支出。</w:t>
      </w:r>
    </w:p>
    <w:p w14:paraId="4CC919BC">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lang w:val="zh-CN" w:eastAsia="zh-CN"/>
        </w:rPr>
        <w:t>、财政拨款</w:t>
      </w:r>
      <w:r>
        <w:rPr>
          <w:rFonts w:hint="default" w:ascii="黑体" w:hAnsi="黑体" w:eastAsia="黑体" w:cs="黑体"/>
          <w:color w:val="auto"/>
          <w:sz w:val="32"/>
          <w:szCs w:val="32"/>
          <w:lang w:val="zh-CN" w:eastAsia="zh-CN"/>
        </w:rPr>
        <w:t>“</w:t>
      </w:r>
      <w:r>
        <w:rPr>
          <w:rFonts w:hint="eastAsia" w:ascii="黑体" w:hAnsi="黑体" w:eastAsia="黑体" w:cs="黑体"/>
          <w:color w:val="auto"/>
          <w:sz w:val="32"/>
          <w:szCs w:val="32"/>
          <w:lang w:val="zh-CN" w:eastAsia="zh-CN"/>
        </w:rPr>
        <w:t>三公</w:t>
      </w:r>
      <w:r>
        <w:rPr>
          <w:rFonts w:hint="default" w:ascii="黑体" w:hAnsi="黑体" w:eastAsia="黑体" w:cs="黑体"/>
          <w:color w:val="auto"/>
          <w:sz w:val="32"/>
          <w:szCs w:val="32"/>
          <w:lang w:val="zh-CN" w:eastAsia="zh-CN"/>
        </w:rPr>
        <w:t>”</w:t>
      </w:r>
      <w:r>
        <w:rPr>
          <w:rFonts w:hint="eastAsia" w:ascii="黑体" w:hAnsi="黑体" w:eastAsia="黑体" w:cs="黑体"/>
          <w:color w:val="auto"/>
          <w:sz w:val="32"/>
          <w:szCs w:val="32"/>
          <w:lang w:val="zh-CN" w:eastAsia="zh-CN"/>
        </w:rPr>
        <w:t>经费支出决算情况说明</w:t>
      </w:r>
    </w:p>
    <w:p w14:paraId="06B25141">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我单们</w:t>
      </w:r>
      <w:r>
        <w:rPr>
          <w:rFonts w:hint="eastAsia" w:ascii="仿宋_GB2312" w:hAnsi="仿宋_GB2312" w:eastAsia="仿宋_GB2312" w:cs="仿宋_GB2312"/>
          <w:color w:val="auto"/>
          <w:sz w:val="32"/>
          <w:szCs w:val="32"/>
          <w:lang w:val="en-US" w:eastAsia="zh-CN"/>
        </w:rPr>
        <w:t>2023年度</w:t>
      </w:r>
      <w:r>
        <w:rPr>
          <w:rFonts w:hint="eastAsia" w:ascii="仿宋_GB2312" w:hAnsi="仿宋_GB2312" w:eastAsia="仿宋_GB2312" w:cs="仿宋_GB2312"/>
          <w:color w:val="auto"/>
          <w:sz w:val="32"/>
          <w:szCs w:val="32"/>
          <w:lang w:val="zh-CN"/>
        </w:rPr>
        <w:t>无“三公”经费支出。</w:t>
      </w:r>
    </w:p>
    <w:p w14:paraId="618C1DA3">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en-US" w:eastAsia="zh-CN"/>
        </w:rPr>
        <w:t>十</w:t>
      </w:r>
      <w:r>
        <w:rPr>
          <w:rFonts w:hint="eastAsia" w:ascii="黑体" w:hAnsi="黑体" w:eastAsia="黑体" w:cs="黑体"/>
          <w:color w:val="auto"/>
          <w:sz w:val="32"/>
          <w:szCs w:val="32"/>
          <w:lang w:val="zh-CN" w:eastAsia="zh-CN"/>
        </w:rPr>
        <w:t>、机关运行经费支出情况说明</w:t>
      </w:r>
    </w:p>
    <w:p w14:paraId="2E52361E">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2023年度本部门机关运行经费支出46.22万元,机关运行经费</w:t>
      </w:r>
      <w:r>
        <w:rPr>
          <w:rFonts w:hint="eastAsia" w:ascii="仿宋_GB2312" w:hAnsi="仿宋_GB2312" w:eastAsia="仿宋_GB2312" w:cs="仿宋_GB2312"/>
          <w:color w:val="auto"/>
          <w:sz w:val="32"/>
          <w:szCs w:val="32"/>
          <w:lang w:val="zh-CN" w:eastAsia="zh-CN"/>
        </w:rPr>
        <w:t>主要用于开支：</w:t>
      </w:r>
      <w:r>
        <w:rPr>
          <w:rFonts w:hint="eastAsia" w:ascii="仿宋_GB2312" w:hAnsi="仿宋_GB2312" w:eastAsia="仿宋_GB2312" w:cs="仿宋_GB2312"/>
          <w:color w:val="auto"/>
          <w:sz w:val="32"/>
          <w:szCs w:val="32"/>
          <w:lang w:val="en-US" w:eastAsia="zh-CN"/>
        </w:rPr>
        <w:t>办公费、印刷费、手续费、水费、电费、邮电费、取暖费、差旅费、维修费、委托业务费、</w:t>
      </w:r>
      <w:r>
        <w:rPr>
          <w:rFonts w:hint="eastAsia" w:ascii="仿宋_GB2312" w:hAnsi="仿宋_GB2312" w:eastAsia="仿宋_GB2312" w:cs="仿宋_GB2312"/>
          <w:color w:val="auto"/>
          <w:sz w:val="32"/>
          <w:szCs w:val="32"/>
          <w:lang w:val="zh-CN"/>
        </w:rPr>
        <w:t>公务交通补贴。</w:t>
      </w:r>
    </w:p>
    <w:p w14:paraId="7449E274">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color w:val="auto"/>
          <w:sz w:val="24"/>
          <w:szCs w:val="24"/>
          <w:lang w:val="zh-CN"/>
        </w:rPr>
      </w:pPr>
      <w:r>
        <w:rPr>
          <w:rFonts w:hint="eastAsia" w:ascii="仿宋_GB2312" w:hAnsi="仿宋_GB2312" w:eastAsia="仿宋_GB2312" w:cs="仿宋_GB2312"/>
          <w:color w:val="auto"/>
          <w:sz w:val="32"/>
          <w:szCs w:val="32"/>
          <w:lang w:val="zh-CN"/>
        </w:rPr>
        <w:t>机关运行经费较上年决算数减少465.7万元,下降90.97%</w:t>
      </w:r>
      <w:r>
        <w:rPr>
          <w:rFonts w:hint="eastAsia" w:ascii="宋体" w:hAnsi="宋体"/>
          <w:color w:val="auto"/>
          <w:sz w:val="24"/>
          <w:szCs w:val="24"/>
          <w:lang w:val="zh-CN"/>
        </w:rPr>
        <w:t>,</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2022年度新增市财政衔接推进乡村振兴补助资金996500元、省市科技计划项目、“强科技”奖补、科技创新奖补等资金3380000元全部计入机关运行经费。</w:t>
      </w:r>
    </w:p>
    <w:p w14:paraId="6B0E3BBC">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rPr>
        <w:t>本年度会议费支出</w:t>
      </w:r>
      <w:r>
        <w:rPr>
          <w:rFonts w:hint="eastAsia" w:ascii="仿宋_GB2312" w:hAnsi="仿宋_GB2312" w:eastAsia="仿宋_GB2312" w:cs="仿宋_GB2312"/>
          <w:color w:val="auto"/>
          <w:sz w:val="32"/>
          <w:szCs w:val="32"/>
          <w:lang w:val="zh-CN" w:eastAsia="zh-CN"/>
        </w:rPr>
        <w:t>0.00万元,较上年决算数减少0.0万元,下降%,主要原因是</w:t>
      </w:r>
      <w:r>
        <w:rPr>
          <w:rFonts w:hint="eastAsia" w:ascii="仿宋_GB2312" w:hAnsi="仿宋_GB2312" w:eastAsia="仿宋_GB2312" w:cs="仿宋_GB2312"/>
          <w:color w:val="auto"/>
          <w:sz w:val="32"/>
          <w:szCs w:val="32"/>
          <w:lang w:val="en-US" w:eastAsia="zh-CN"/>
        </w:rPr>
        <w:t>2023年度单位未开展相关培训工作</w:t>
      </w:r>
      <w:r>
        <w:rPr>
          <w:rFonts w:hint="eastAsia" w:ascii="仿宋_GB2312" w:hAnsi="仿宋_GB2312" w:eastAsia="仿宋_GB2312" w:cs="仿宋_GB2312"/>
          <w:color w:val="auto"/>
          <w:sz w:val="32"/>
          <w:szCs w:val="32"/>
          <w:lang w:val="zh-CN" w:eastAsia="zh-CN"/>
        </w:rPr>
        <w:t>。本年度培训费支出0.00万元,较上年决算数减少0.0万元,下降%,主要原因是</w:t>
      </w:r>
      <w:r>
        <w:rPr>
          <w:rFonts w:hint="eastAsia" w:ascii="仿宋_GB2312" w:hAnsi="仿宋_GB2312" w:eastAsia="仿宋_GB2312" w:cs="仿宋_GB2312"/>
          <w:color w:val="auto"/>
          <w:sz w:val="32"/>
          <w:szCs w:val="32"/>
          <w:lang w:val="en-US" w:eastAsia="zh-CN"/>
        </w:rPr>
        <w:t>2023年度单位未开展相关培训工作</w:t>
      </w:r>
      <w:r>
        <w:rPr>
          <w:rFonts w:hint="eastAsia" w:ascii="仿宋_GB2312" w:hAnsi="仿宋_GB2312" w:eastAsia="仿宋_GB2312" w:cs="仿宋_GB2312"/>
          <w:color w:val="auto"/>
          <w:sz w:val="32"/>
          <w:szCs w:val="32"/>
          <w:lang w:val="zh-CN" w:eastAsia="zh-CN"/>
        </w:rPr>
        <w:t>。</w:t>
      </w:r>
    </w:p>
    <w:p w14:paraId="6100F33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十一、政府采购支出情况说明</w:t>
      </w:r>
    </w:p>
    <w:p w14:paraId="202E33B5">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政府采购支出合计45.19万元,其中：政府采购货物支出40.59万元、政府采购工程支出4.12万元、政府采购服务支出0.49万元。授予中小企业合同金额45.19万元,占政府采购支出总额的100.00%,其中：授予小微企业合同金额45.19万元,占政府采购支出总额的100.00%。</w:t>
      </w:r>
    </w:p>
    <w:p w14:paraId="6B7D62F8">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en-US" w:eastAsia="zh-CN"/>
        </w:rPr>
        <w:t>十二</w:t>
      </w:r>
      <w:r>
        <w:rPr>
          <w:rFonts w:hint="eastAsia" w:ascii="黑体" w:hAnsi="黑体" w:eastAsia="黑体" w:cs="黑体"/>
          <w:color w:val="auto"/>
          <w:sz w:val="32"/>
          <w:szCs w:val="32"/>
          <w:lang w:val="zh-CN" w:eastAsia="zh-CN"/>
        </w:rPr>
        <w:t>、国有资产占用情况说明</w:t>
      </w:r>
    </w:p>
    <w:p w14:paraId="70E9F124">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5B51F3B9">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十三、其他需要说明的情况</w:t>
      </w:r>
    </w:p>
    <w:p w14:paraId="3F11E1C5">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19272624">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eastAsia="zh-CN"/>
        </w:rPr>
      </w:pPr>
      <w:r>
        <w:rPr>
          <w:rFonts w:hint="eastAsia" w:ascii="方正小标宋简体" w:hAnsi="方正小标宋简体" w:eastAsia="方正小标宋简体" w:cs="方正小标宋简体"/>
          <w:b w:val="0"/>
          <w:bCs/>
          <w:color w:val="auto"/>
          <w:sz w:val="44"/>
          <w:szCs w:val="44"/>
          <w:lang w:val="zh-CN" w:eastAsia="zh-CN"/>
        </w:rPr>
        <w:t>第四部分</w:t>
      </w:r>
      <w:r>
        <w:rPr>
          <w:rFonts w:hint="eastAsia" w:ascii="方正小标宋简体" w:hAnsi="方正小标宋简体" w:eastAsia="方正小标宋简体" w:cs="方正小标宋简体"/>
          <w:b w:val="0"/>
          <w:bCs/>
          <w:color w:val="auto"/>
          <w:sz w:val="44"/>
          <w:szCs w:val="44"/>
          <w:lang w:val="en-US" w:eastAsia="zh-CN"/>
        </w:rPr>
        <w:t xml:space="preserve">  </w:t>
      </w:r>
      <w:r>
        <w:rPr>
          <w:rFonts w:hint="eastAsia" w:ascii="方正小标宋简体" w:hAnsi="方正小标宋简体" w:eastAsia="方正小标宋简体" w:cs="方正小标宋简体"/>
          <w:b w:val="0"/>
          <w:bCs/>
          <w:color w:val="auto"/>
          <w:sz w:val="44"/>
          <w:szCs w:val="44"/>
          <w:lang w:val="zh-CN" w:eastAsia="zh-CN"/>
        </w:rPr>
        <w:t>预算绩效情况说明</w:t>
      </w:r>
    </w:p>
    <w:p w14:paraId="14B7CBEE">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预算绩效管理工作开展情况</w:t>
      </w:r>
    </w:p>
    <w:p w14:paraId="33ADD974">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rPr>
        <w:t>根据预算绩效管理要求,本部门对</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lang w:val="en-US"/>
        </w:rPr>
        <w:t>年度一般公共预算项目支出全面开展绩效自评,其中,一级项目</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rPr>
        <w:t>个,共涉及资金</w:t>
      </w:r>
      <w:r>
        <w:rPr>
          <w:rFonts w:hint="eastAsia" w:ascii="仿宋_GB2312" w:hAnsi="仿宋_GB2312" w:eastAsia="仿宋_GB2312" w:cs="仿宋_GB2312"/>
          <w:color w:val="auto"/>
          <w:sz w:val="32"/>
          <w:szCs w:val="32"/>
          <w:lang w:val="en-US" w:eastAsia="zh-CN"/>
        </w:rPr>
        <w:t>135万元</w:t>
      </w:r>
      <w:r>
        <w:rPr>
          <w:rFonts w:hint="eastAsia" w:ascii="仿宋_GB2312" w:hAnsi="仿宋_GB2312" w:eastAsia="仿宋_GB2312" w:cs="仿宋_GB2312"/>
          <w:color w:val="auto"/>
          <w:sz w:val="32"/>
          <w:szCs w:val="32"/>
          <w:lang w:val="en-US"/>
        </w:rPr>
        <w:t>,占一般公共预算项目支出总额的</w:t>
      </w:r>
      <w:r>
        <w:rPr>
          <w:rFonts w:hint="eastAsia" w:ascii="仿宋_GB2312" w:hAnsi="仿宋_GB2312" w:eastAsia="仿宋_GB2312" w:cs="仿宋_GB2312"/>
          <w:color w:val="auto"/>
          <w:sz w:val="32"/>
          <w:szCs w:val="32"/>
          <w:lang w:val="en-US" w:eastAsia="zh-CN"/>
        </w:rPr>
        <w:t>18.7</w:t>
      </w:r>
      <w:r>
        <w:rPr>
          <w:rFonts w:hint="eastAsia" w:ascii="仿宋_GB2312" w:hAnsi="仿宋_GB2312" w:eastAsia="仿宋_GB2312" w:cs="仿宋_GB2312"/>
          <w:color w:val="auto"/>
          <w:sz w:val="32"/>
          <w:szCs w:val="32"/>
          <w:lang w:val="en-US"/>
        </w:rPr>
        <w:t>%。组织对“2023年东西部协作科技创新专项”“2022年度科技创新奖补资金”等</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rPr>
        <w:t>个项目开展了部门评价,涉及一般公共预算支出</w:t>
      </w:r>
      <w:r>
        <w:rPr>
          <w:rFonts w:hint="eastAsia" w:ascii="仿宋_GB2312" w:hAnsi="仿宋_GB2312" w:eastAsia="仿宋_GB2312" w:cs="仿宋_GB2312"/>
          <w:color w:val="auto"/>
          <w:sz w:val="32"/>
          <w:szCs w:val="32"/>
          <w:lang w:val="en-US" w:eastAsia="zh-CN"/>
        </w:rPr>
        <w:t>135万元</w:t>
      </w:r>
      <w:r>
        <w:rPr>
          <w:rFonts w:hint="eastAsia" w:ascii="仿宋_GB2312" w:hAnsi="仿宋_GB2312" w:eastAsia="仿宋_GB2312" w:cs="仿宋_GB2312"/>
          <w:color w:val="auto"/>
          <w:sz w:val="32"/>
          <w:szCs w:val="32"/>
          <w:lang w:val="en-US"/>
        </w:rPr>
        <w:t>,从评价情况来看,</w:t>
      </w:r>
      <w:r>
        <w:rPr>
          <w:rFonts w:hint="eastAsia" w:ascii="仿宋_GB2312" w:hAnsi="仿宋_GB2312" w:eastAsia="仿宋_GB2312" w:cs="仿宋_GB2312"/>
          <w:color w:val="auto"/>
          <w:kern w:val="0"/>
          <w:sz w:val="32"/>
          <w:szCs w:val="32"/>
          <w:lang w:val="en-US" w:eastAsia="zh-CN"/>
        </w:rPr>
        <w:t>以上个项目都严格按照项目进度建设实施，实施过程中严格执行政府采购程序，进行公开招标等方式进行，对每个项目定期进行督查验收，按项目进度支付项目资金；实施完成后进行总结验收，验收合格后开展财政决算并支付全部项目款。</w:t>
      </w:r>
    </w:p>
    <w:p w14:paraId="12DDA49C">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绩效自评结果</w:t>
      </w:r>
    </w:p>
    <w:p w14:paraId="20228F7B">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我部门在</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lang w:val="en-US"/>
        </w:rPr>
        <w:t>年度部门决算中反映2023年东西部协作科技创新专项、2022年度科技创新奖补资金等</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rPr>
        <w:t>个项目绩效自评结果。</w:t>
      </w:r>
    </w:p>
    <w:p w14:paraId="7DD06B56">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color w:val="000000"/>
          <w:spacing w:val="0"/>
          <w:w w:val="100"/>
          <w:position w:val="0"/>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rPr>
        <w:t>2023年东西部协作科技创新专项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项目绩效自评情况：根据年初设定的绩效目标,项目绩效自评得分为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分。项目全年预算数为</w:t>
      </w:r>
      <w:r>
        <w:rPr>
          <w:rFonts w:hint="eastAsia" w:ascii="仿宋_GB2312" w:hAnsi="仿宋_GB2312" w:eastAsia="仿宋_GB2312" w:cs="仿宋_GB2312"/>
          <w:color w:val="auto"/>
          <w:sz w:val="32"/>
          <w:szCs w:val="32"/>
          <w:lang w:val="en-US" w:eastAsia="zh-CN"/>
        </w:rPr>
        <w:t>100万元</w:t>
      </w:r>
      <w:r>
        <w:rPr>
          <w:rFonts w:hint="eastAsia" w:ascii="仿宋_GB2312" w:hAnsi="仿宋_GB2312" w:eastAsia="仿宋_GB2312" w:cs="仿宋_GB2312"/>
          <w:color w:val="auto"/>
          <w:sz w:val="32"/>
          <w:szCs w:val="32"/>
          <w:lang w:val="en-US"/>
        </w:rPr>
        <w:t>,执行数为</w:t>
      </w:r>
      <w:r>
        <w:rPr>
          <w:rFonts w:hint="eastAsia" w:ascii="仿宋_GB2312" w:hAnsi="仿宋_GB2312" w:eastAsia="仿宋_GB2312" w:cs="仿宋_GB2312"/>
          <w:color w:val="auto"/>
          <w:sz w:val="32"/>
          <w:szCs w:val="32"/>
          <w:lang w:val="en-US" w:eastAsia="zh-CN"/>
        </w:rPr>
        <w:t>100万元</w:t>
      </w:r>
      <w:r>
        <w:rPr>
          <w:rFonts w:hint="eastAsia" w:ascii="仿宋_GB2312" w:hAnsi="仿宋_GB2312" w:eastAsia="仿宋_GB2312" w:cs="仿宋_GB2312"/>
          <w:color w:val="auto"/>
          <w:sz w:val="32"/>
          <w:szCs w:val="32"/>
          <w:lang w:val="en-US"/>
        </w:rPr>
        <w:t>,完成预算的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%。项目绩效目标完成情况：</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rPr>
        <w:t>是</w:t>
      </w:r>
      <w:r>
        <w:rPr>
          <w:rFonts w:hint="eastAsia" w:ascii="仿宋_GB2312" w:hAnsi="仿宋_GB2312" w:eastAsia="仿宋_GB2312" w:cs="仿宋_GB2312"/>
          <w:b/>
          <w:bCs/>
          <w:color w:val="000000"/>
          <w:spacing w:val="0"/>
          <w:w w:val="100"/>
          <w:position w:val="0"/>
          <w:sz w:val="32"/>
          <w:szCs w:val="32"/>
          <w:lang w:val="en-US" w:eastAsia="zh-CN"/>
        </w:rPr>
        <w:t>黑果花楸复合饮料的研发与中试项目。</w:t>
      </w:r>
      <w:r>
        <w:rPr>
          <w:rFonts w:hint="eastAsia" w:ascii="仿宋_GB2312" w:hAnsi="仿宋_GB2312" w:eastAsia="仿宋_GB2312" w:cs="仿宋_GB2312"/>
          <w:b w:val="0"/>
          <w:bCs w:val="0"/>
          <w:color w:val="000000"/>
          <w:spacing w:val="0"/>
          <w:w w:val="100"/>
          <w:position w:val="0"/>
          <w:sz w:val="32"/>
          <w:szCs w:val="32"/>
          <w:lang w:val="en-US" w:eastAsia="zh-CN"/>
        </w:rPr>
        <w:t>通过订单种植、保底价收购、技术培训、就业增收等方式，带动农户种植订单黄芪、金银花、黑果花楸峰中药材500余亩；培训中药材深加工技术人才20人，吸纳就业30余人</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val="en-US"/>
        </w:rPr>
        <w:t>是</w:t>
      </w:r>
      <w:r>
        <w:rPr>
          <w:rFonts w:hint="eastAsia" w:ascii="仿宋_GB2312" w:hAnsi="仿宋_GB2312" w:eastAsia="仿宋_GB2312" w:cs="仿宋_GB2312"/>
          <w:b/>
          <w:bCs/>
          <w:color w:val="000000"/>
          <w:spacing w:val="0"/>
          <w:w w:val="100"/>
          <w:position w:val="0"/>
          <w:sz w:val="32"/>
          <w:szCs w:val="32"/>
          <w:lang w:val="en-US" w:eastAsia="zh-CN"/>
        </w:rPr>
        <w:t>沙棘茶叶毫分离技术及装置研发项目。</w:t>
      </w:r>
      <w:r>
        <w:rPr>
          <w:rFonts w:hint="eastAsia" w:ascii="仿宋_GB2312" w:hAnsi="仿宋_GB2312" w:eastAsia="仿宋_GB2312" w:cs="仿宋_GB2312"/>
          <w:b/>
          <w:bCs/>
          <w:color w:val="000000"/>
          <w:spacing w:val="0"/>
          <w:w w:val="100"/>
          <w:position w:val="0"/>
          <w:sz w:val="32"/>
          <w:szCs w:val="32"/>
          <w:lang w:val="en-US" w:eastAsia="zh-CN"/>
        </w:rPr>
        <w:t>一是</w:t>
      </w:r>
      <w:r>
        <w:rPr>
          <w:rFonts w:hint="eastAsia" w:ascii="仿宋_GB2312" w:hAnsi="仿宋_GB2312" w:eastAsia="仿宋_GB2312" w:cs="仿宋_GB2312"/>
          <w:b w:val="0"/>
          <w:bCs w:val="0"/>
          <w:color w:val="000000"/>
          <w:spacing w:val="0"/>
          <w:w w:val="100"/>
          <w:position w:val="0"/>
          <w:sz w:val="32"/>
          <w:szCs w:val="32"/>
          <w:lang w:val="en-US" w:eastAsia="zh-CN"/>
        </w:rPr>
        <w:t>通过沙棘原料的采收带动全县农户创收。公司在原料收购季在市场价格的基础上通过对合作社、农户进行运费补贴及收购价格上浮等有效措施联动创收。</w:t>
      </w:r>
      <w:r>
        <w:rPr>
          <w:rFonts w:hint="eastAsia" w:ascii="仿宋_GB2312" w:hAnsi="仿宋_GB2312" w:eastAsia="仿宋_GB2312" w:cs="仿宋_GB2312"/>
          <w:b/>
          <w:bCs/>
          <w:color w:val="000000"/>
          <w:spacing w:val="0"/>
          <w:w w:val="100"/>
          <w:position w:val="0"/>
          <w:sz w:val="32"/>
          <w:szCs w:val="32"/>
          <w:lang w:val="en-US" w:eastAsia="zh-CN"/>
        </w:rPr>
        <w:t>二是</w:t>
      </w:r>
      <w:r>
        <w:rPr>
          <w:rFonts w:hint="eastAsia" w:ascii="仿宋_GB2312" w:hAnsi="仿宋_GB2312" w:eastAsia="仿宋_GB2312" w:cs="仿宋_GB2312"/>
          <w:b w:val="0"/>
          <w:bCs w:val="0"/>
          <w:color w:val="000000"/>
          <w:spacing w:val="0"/>
          <w:w w:val="100"/>
          <w:position w:val="0"/>
          <w:sz w:val="32"/>
          <w:szCs w:val="32"/>
          <w:lang w:val="en-US" w:eastAsia="zh-CN"/>
        </w:rPr>
        <w:t>通过就业带动部分农户增收，公司现创造就业岗位30个，雇用临时用工40个。</w:t>
      </w:r>
      <w:r>
        <w:rPr>
          <w:rFonts w:hint="eastAsia" w:ascii="仿宋_GB2312" w:hAnsi="仿宋_GB2312" w:eastAsia="仿宋_GB2312" w:cs="仿宋_GB2312"/>
          <w:b/>
          <w:bCs/>
          <w:color w:val="000000"/>
          <w:spacing w:val="0"/>
          <w:w w:val="100"/>
          <w:position w:val="0"/>
          <w:sz w:val="32"/>
          <w:szCs w:val="32"/>
          <w:lang w:val="en-US" w:eastAsia="zh-CN"/>
        </w:rPr>
        <w:t>三是</w:t>
      </w:r>
      <w:r>
        <w:rPr>
          <w:rFonts w:hint="eastAsia" w:ascii="仿宋_GB2312" w:hAnsi="仿宋_GB2312" w:eastAsia="仿宋_GB2312" w:cs="仿宋_GB2312"/>
          <w:b w:val="0"/>
          <w:bCs w:val="0"/>
          <w:color w:val="000000"/>
          <w:spacing w:val="0"/>
          <w:w w:val="100"/>
          <w:position w:val="0"/>
          <w:sz w:val="32"/>
          <w:szCs w:val="32"/>
          <w:lang w:val="en-US" w:eastAsia="zh-CN"/>
        </w:rPr>
        <w:t>通过村集体资金入股分红进行带动。通过村集体资金注入公司推动公司发展，公司每年按照固定分红比例进行分红，由村集体制定资金分配方案，农户通过管理沙棘基地、除草等方式获得报酬。促进产业发展，提高农民收入。</w:t>
      </w:r>
      <w:r>
        <w:rPr>
          <w:rFonts w:hint="eastAsia" w:ascii="仿宋_GB2312" w:hAnsi="仿宋_GB2312" w:eastAsia="仿宋_GB2312" w:cs="仿宋_GB2312"/>
          <w:b/>
          <w:bCs/>
          <w:color w:val="000000"/>
          <w:spacing w:val="0"/>
          <w:w w:val="100"/>
          <w:position w:val="0"/>
          <w:sz w:val="32"/>
          <w:szCs w:val="32"/>
          <w:lang w:val="en-US" w:eastAsia="zh-CN"/>
        </w:rPr>
        <w:t>3、优质甜糯玉米品种引进示范推广及产品加工项目。</w:t>
      </w:r>
      <w:r>
        <w:rPr>
          <w:rFonts w:hint="eastAsia" w:ascii="仿宋_GB2312" w:hAnsi="仿宋_GB2312" w:eastAsia="仿宋_GB2312" w:cs="仿宋_GB2312"/>
          <w:b w:val="0"/>
          <w:bCs w:val="0"/>
          <w:color w:val="000000"/>
          <w:spacing w:val="0"/>
          <w:w w:val="100"/>
          <w:position w:val="0"/>
          <w:sz w:val="32"/>
          <w:szCs w:val="32"/>
          <w:lang w:val="en-US" w:eastAsia="zh-CN"/>
        </w:rPr>
        <w:t>带动17户</w:t>
      </w:r>
      <w:r>
        <w:rPr>
          <w:rFonts w:hint="eastAsia" w:ascii="仿宋_GB2312" w:hAnsi="仿宋_GB2312" w:eastAsia="仿宋_GB2312" w:cs="仿宋_GB2312"/>
          <w:b w:val="0"/>
          <w:bCs w:val="0"/>
          <w:color w:val="000000"/>
          <w:spacing w:val="0"/>
          <w:w w:val="100"/>
          <w:position w:val="0"/>
          <w:sz w:val="32"/>
          <w:szCs w:val="32"/>
        </w:rPr>
        <w:t>农户通过</w:t>
      </w:r>
      <w:r>
        <w:rPr>
          <w:rFonts w:hint="eastAsia" w:ascii="仿宋_GB2312" w:hAnsi="仿宋_GB2312" w:eastAsia="仿宋_GB2312" w:cs="仿宋_GB2312"/>
          <w:b w:val="0"/>
          <w:bCs w:val="0"/>
          <w:color w:val="000000"/>
          <w:spacing w:val="0"/>
          <w:w w:val="100"/>
          <w:position w:val="0"/>
          <w:sz w:val="32"/>
          <w:szCs w:val="32"/>
          <w:lang w:val="en-US" w:eastAsia="zh-CN"/>
        </w:rPr>
        <w:t>土地流转获得租金收益</w:t>
      </w:r>
      <w:r>
        <w:rPr>
          <w:rFonts w:hint="eastAsia" w:ascii="仿宋_GB2312" w:hAnsi="仿宋_GB2312" w:eastAsia="仿宋_GB2312" w:cs="仿宋_GB2312"/>
          <w:b w:val="0"/>
          <w:bCs w:val="0"/>
          <w:color w:val="000000"/>
          <w:spacing w:val="0"/>
          <w:w w:val="100"/>
          <w:position w:val="0"/>
          <w:sz w:val="32"/>
          <w:szCs w:val="32"/>
          <w:lang w:eastAsia="zh-CN"/>
        </w:rPr>
        <w:t>，</w:t>
      </w:r>
      <w:r>
        <w:rPr>
          <w:rFonts w:hint="eastAsia" w:ascii="仿宋_GB2312" w:hAnsi="仿宋_GB2312" w:eastAsia="仿宋_GB2312" w:cs="仿宋_GB2312"/>
          <w:b w:val="0"/>
          <w:bCs w:val="0"/>
          <w:color w:val="000000"/>
          <w:spacing w:val="0"/>
          <w:w w:val="100"/>
          <w:position w:val="0"/>
          <w:sz w:val="32"/>
          <w:szCs w:val="32"/>
        </w:rPr>
        <w:t>提高农民收入</w:t>
      </w:r>
      <w:r>
        <w:rPr>
          <w:rFonts w:hint="eastAsia" w:ascii="仿宋_GB2312" w:hAnsi="仿宋_GB2312" w:eastAsia="仿宋_GB2312" w:cs="仿宋_GB2312"/>
          <w:b w:val="0"/>
          <w:bCs w:val="0"/>
          <w:color w:val="000000"/>
          <w:spacing w:val="0"/>
          <w:w w:val="100"/>
          <w:position w:val="0"/>
          <w:sz w:val="32"/>
          <w:szCs w:val="32"/>
          <w:lang w:eastAsia="zh-CN"/>
        </w:rPr>
        <w:t>，</w:t>
      </w:r>
      <w:r>
        <w:rPr>
          <w:rFonts w:hint="eastAsia" w:ascii="仿宋_GB2312" w:hAnsi="仿宋_GB2312" w:eastAsia="仿宋_GB2312" w:cs="仿宋_GB2312"/>
          <w:b w:val="0"/>
          <w:bCs w:val="0"/>
          <w:color w:val="000000"/>
          <w:spacing w:val="0"/>
          <w:w w:val="100"/>
          <w:position w:val="0"/>
          <w:sz w:val="32"/>
          <w:szCs w:val="32"/>
          <w:lang w:val="en-US" w:eastAsia="zh-CN"/>
        </w:rPr>
        <w:t>带动周边30户农户就近就业。</w:t>
      </w:r>
      <w:r>
        <w:rPr>
          <w:rFonts w:hint="eastAsia" w:ascii="仿宋_GB2312" w:hAnsi="仿宋_GB2312" w:eastAsia="仿宋_GB2312" w:cs="仿宋_GB2312"/>
          <w:b/>
          <w:bCs/>
          <w:color w:val="000000"/>
          <w:spacing w:val="0"/>
          <w:w w:val="100"/>
          <w:position w:val="0"/>
          <w:sz w:val="32"/>
          <w:szCs w:val="32"/>
          <w:lang w:val="en-US" w:eastAsia="zh-CN"/>
        </w:rPr>
        <w:t>4、南梁山泉水实验检测室建设项目。</w:t>
      </w:r>
      <w:r>
        <w:rPr>
          <w:rFonts w:hint="eastAsia" w:ascii="仿宋_GB2312" w:hAnsi="仿宋_GB2312" w:eastAsia="仿宋_GB2312" w:cs="仿宋_GB2312"/>
          <w:b w:val="0"/>
          <w:bCs w:val="0"/>
          <w:color w:val="000000"/>
          <w:spacing w:val="0"/>
          <w:w w:val="100"/>
          <w:position w:val="0"/>
          <w:sz w:val="32"/>
          <w:szCs w:val="32"/>
          <w:lang w:val="en-US" w:eastAsia="zh-CN"/>
        </w:rPr>
        <w:t>该项目投入运行后，每年为村集体固定分红20.65万元，可解决当地就业岗位20个。同时，将免费为当地重点企位、大型餐饮企业提供日常食品安全检测服务。</w:t>
      </w:r>
    </w:p>
    <w:p w14:paraId="7CE9915E">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rPr>
        <w:t>2022年度科技创新奖补资金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lang w:val="en-US"/>
        </w:rPr>
        <w:t>绩效自评情况：根据年初设定的绩效目标,项目绩效自评得分为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分。项目全年预算数为</w:t>
      </w:r>
      <w:r>
        <w:rPr>
          <w:rFonts w:hint="eastAsia" w:ascii="仿宋_GB2312" w:hAnsi="仿宋_GB2312" w:eastAsia="仿宋_GB2312" w:cs="仿宋_GB2312"/>
          <w:color w:val="auto"/>
          <w:sz w:val="32"/>
          <w:szCs w:val="32"/>
          <w:lang w:val="en-US" w:eastAsia="zh-CN"/>
        </w:rPr>
        <w:t>35万元</w:t>
      </w:r>
      <w:r>
        <w:rPr>
          <w:rFonts w:hint="eastAsia" w:ascii="仿宋_GB2312" w:hAnsi="仿宋_GB2312" w:eastAsia="仿宋_GB2312" w:cs="仿宋_GB2312"/>
          <w:color w:val="auto"/>
          <w:sz w:val="32"/>
          <w:szCs w:val="32"/>
          <w:lang w:val="en-US"/>
        </w:rPr>
        <w:t>,执行数为</w:t>
      </w:r>
      <w:r>
        <w:rPr>
          <w:rFonts w:hint="eastAsia" w:ascii="仿宋_GB2312" w:hAnsi="仿宋_GB2312" w:eastAsia="仿宋_GB2312" w:cs="仿宋_GB2312"/>
          <w:color w:val="auto"/>
          <w:sz w:val="32"/>
          <w:szCs w:val="32"/>
          <w:lang w:val="en-US" w:eastAsia="zh-CN"/>
        </w:rPr>
        <w:t>35万元</w:t>
      </w:r>
      <w:r>
        <w:rPr>
          <w:rFonts w:hint="eastAsia" w:ascii="仿宋_GB2312" w:hAnsi="仿宋_GB2312" w:eastAsia="仿宋_GB2312" w:cs="仿宋_GB2312"/>
          <w:color w:val="auto"/>
          <w:sz w:val="32"/>
          <w:szCs w:val="32"/>
          <w:lang w:val="en-US"/>
        </w:rPr>
        <w:t>,完成预算的</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lang w:val="en-US"/>
        </w:rPr>
        <w:t>%。项目绩效目标完成情况：申请发明专利2项，实用新型专利10项；引进培养自己的科技人才，引进专业技术人员2名，提供劳动岗位60个。</w:t>
      </w:r>
    </w:p>
    <w:p w14:paraId="54D7A2E9">
      <w:pPr>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color w:val="auto"/>
          <w:sz w:val="32"/>
          <w:szCs w:val="32"/>
          <w:lang w:val="zh-CN" w:eastAsia="zh-CN"/>
        </w:rPr>
      </w:pPr>
      <w:r>
        <w:rPr>
          <w:rFonts w:hint="eastAsia" w:ascii="黑体" w:hAnsi="黑体" w:eastAsia="黑体" w:cs="黑体"/>
          <w:color w:val="auto"/>
          <w:sz w:val="32"/>
          <w:szCs w:val="32"/>
          <w:lang w:val="zh-CN" w:eastAsia="zh-CN"/>
        </w:rPr>
        <w:t>部门绩效评价结果</w:t>
      </w:r>
    </w:p>
    <w:p w14:paraId="748D3A53">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部门绩效评价结果详见附表。</w:t>
      </w:r>
    </w:p>
    <w:p w14:paraId="5F1061D9">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val="zh-CN" w:eastAsia="zh-CN"/>
        </w:rPr>
      </w:pPr>
      <w:r>
        <w:rPr>
          <w:rFonts w:hint="eastAsia" w:ascii="方正小标宋简体" w:hAnsi="方正小标宋简体" w:eastAsia="方正小标宋简体" w:cs="方正小标宋简体"/>
          <w:b w:val="0"/>
          <w:bCs/>
          <w:color w:val="auto"/>
          <w:sz w:val="44"/>
          <w:szCs w:val="44"/>
          <w:lang w:val="zh-CN" w:eastAsia="zh-CN"/>
        </w:rPr>
        <w:t>第五部分</w:t>
      </w:r>
      <w:r>
        <w:rPr>
          <w:rFonts w:hint="eastAsia" w:ascii="方正小标宋简体" w:hAnsi="方正小标宋简体" w:eastAsia="方正小标宋简体" w:cs="方正小标宋简体"/>
          <w:b w:val="0"/>
          <w:bCs/>
          <w:color w:val="auto"/>
          <w:sz w:val="44"/>
          <w:szCs w:val="44"/>
          <w:lang w:val="en-US" w:eastAsia="zh-CN"/>
        </w:rPr>
        <w:t xml:space="preserve">  </w:t>
      </w:r>
      <w:r>
        <w:rPr>
          <w:rFonts w:hint="eastAsia" w:ascii="方正小标宋简体" w:hAnsi="方正小标宋简体" w:eastAsia="方正小标宋简体" w:cs="方正小标宋简体"/>
          <w:b w:val="0"/>
          <w:bCs/>
          <w:color w:val="auto"/>
          <w:sz w:val="44"/>
          <w:szCs w:val="44"/>
          <w:lang w:val="zh-CN" w:eastAsia="zh-CN"/>
        </w:rPr>
        <w:t>名词解释</w:t>
      </w:r>
    </w:p>
    <w:p w14:paraId="4121A17D">
      <w:pPr>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以下为常见专业名词解释目录,仅供参考,部门应根据实际情况进行解释和增减。比如可将类级功能科目和经济科目细化解释到项级。若有删减注意调整段落序号。</w:t>
      </w:r>
    </w:p>
    <w:p w14:paraId="043A41BB">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13E39CA8">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4CDC48F3">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6FB23EE6">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4BBF07AD">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3525ADDF">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2CD88D34">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508541D3">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47DF6FFF">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1DAB58CB">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46C48EEE">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490E2F47">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C7BA045">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6F2D68A">
      <w:pPr>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14:paraId="20A12830">
      <w:pPr>
        <w:spacing w:before="100" w:beforeLines="0" w:after="100" w:afterLines="0"/>
        <w:jc w:val="both"/>
        <w:rPr>
          <w:rFonts w:hint="eastAsia" w:ascii="仿宋_GB2312" w:hAnsi="仿宋_GB2312" w:eastAsia="仿宋_GB2312" w:cs="仿宋_GB2312"/>
          <w:color w:val="auto"/>
          <w:sz w:val="32"/>
          <w:szCs w:val="32"/>
          <w:lang w:val="zh-CN"/>
        </w:rPr>
      </w:pPr>
      <w:bookmarkStart w:id="0" w:name="_GoBack"/>
      <w:bookmarkEnd w:id="0"/>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88F54"/>
    <w:multiLevelType w:val="singleLevel"/>
    <w:tmpl w:val="86588F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3MGQ4NjM4OTU1ZmYxYWNmNzRlMmI1NjRiYTYxMGEifQ=="/>
  </w:docVars>
  <w:rsids>
    <w:rsidRoot w:val="00000000"/>
    <w:rsid w:val="00D83D49"/>
    <w:rsid w:val="03493708"/>
    <w:rsid w:val="03546191"/>
    <w:rsid w:val="05EE467B"/>
    <w:rsid w:val="07120A20"/>
    <w:rsid w:val="07E8373E"/>
    <w:rsid w:val="0BA37586"/>
    <w:rsid w:val="0BC639A4"/>
    <w:rsid w:val="0BD773D5"/>
    <w:rsid w:val="16577E9F"/>
    <w:rsid w:val="17747262"/>
    <w:rsid w:val="1B530750"/>
    <w:rsid w:val="203B70A1"/>
    <w:rsid w:val="24194B61"/>
    <w:rsid w:val="247D5416"/>
    <w:rsid w:val="251A7161"/>
    <w:rsid w:val="25442EB2"/>
    <w:rsid w:val="27293C42"/>
    <w:rsid w:val="277D7A2F"/>
    <w:rsid w:val="27FC7CDE"/>
    <w:rsid w:val="280B76D8"/>
    <w:rsid w:val="28924C1A"/>
    <w:rsid w:val="29E22822"/>
    <w:rsid w:val="2AEB17BD"/>
    <w:rsid w:val="2BAE2165"/>
    <w:rsid w:val="2EB652FF"/>
    <w:rsid w:val="32F4606C"/>
    <w:rsid w:val="3520377F"/>
    <w:rsid w:val="37C72649"/>
    <w:rsid w:val="3CDD2778"/>
    <w:rsid w:val="3E7F4CC8"/>
    <w:rsid w:val="422A38A6"/>
    <w:rsid w:val="488D2C1C"/>
    <w:rsid w:val="4E151645"/>
    <w:rsid w:val="4FC23D7C"/>
    <w:rsid w:val="5180327A"/>
    <w:rsid w:val="51C348C0"/>
    <w:rsid w:val="539B1FD4"/>
    <w:rsid w:val="53AC6BBE"/>
    <w:rsid w:val="54234D64"/>
    <w:rsid w:val="54A442CA"/>
    <w:rsid w:val="564D2461"/>
    <w:rsid w:val="57C74156"/>
    <w:rsid w:val="5ADA39FB"/>
    <w:rsid w:val="5B7C4BEC"/>
    <w:rsid w:val="5D0B04AC"/>
    <w:rsid w:val="5D451591"/>
    <w:rsid w:val="673232A1"/>
    <w:rsid w:val="67FD5288"/>
    <w:rsid w:val="69B65E6A"/>
    <w:rsid w:val="69DF102E"/>
    <w:rsid w:val="69EF14EB"/>
    <w:rsid w:val="6D36092A"/>
    <w:rsid w:val="6DEB1664"/>
    <w:rsid w:val="6E2656F3"/>
    <w:rsid w:val="6FB723C8"/>
    <w:rsid w:val="72A67B0D"/>
    <w:rsid w:val="75EA15C6"/>
    <w:rsid w:val="76F04F3B"/>
    <w:rsid w:val="77C02A87"/>
    <w:rsid w:val="7CEC453A"/>
    <w:rsid w:val="7CF8146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next w:val="1"/>
    <w:qFormat/>
    <w:uiPriority w:val="0"/>
    <w:pPr>
      <w:spacing w:line="600" w:lineRule="exact"/>
      <w:ind w:firstLine="586" w:firstLineChars="198"/>
    </w:pPr>
    <w:rPr>
      <w:rFonts w:ascii="黑体" w:eastAsia="黑体"/>
      <w:spacing w:val="-12"/>
      <w:sz w:val="32"/>
    </w:rPr>
  </w:style>
  <w:style w:type="paragraph" w:styleId="3">
    <w:name w:val="Normal Indent"/>
    <w:basedOn w:val="1"/>
    <w:qFormat/>
    <w:uiPriority w:val="99"/>
    <w:pPr>
      <w:ind w:firstLine="420"/>
    </w:pPr>
  </w:style>
  <w:style w:type="table" w:styleId="5">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Body text|1"/>
    <w:basedOn w:val="1"/>
    <w:qFormat/>
    <w:uiPriority w:val="0"/>
    <w:pPr>
      <w:widowControl w:val="0"/>
      <w:shd w:val="clear" w:color="auto" w:fill="auto"/>
      <w:spacing w:line="422"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8359b749-5bcd-4b76-8de5-57492b968b61}">
  <ds:schemaRefs/>
</ds:datastoreItem>
</file>

<file path=customXml/itemProps2.xml><?xml version="1.0" encoding="utf-8"?>
<ds:datastoreItem xmlns:ds="http://schemas.openxmlformats.org/officeDocument/2006/customXml" ds:itemID="{32eccb77-ee76-44bc-a7ed-fbd0dcb66464}">
  <ds:schemaRefs/>
</ds:datastoreItem>
</file>

<file path=customXml/itemProps3.xml><?xml version="1.0" encoding="utf-8"?>
<ds:datastoreItem xmlns:ds="http://schemas.openxmlformats.org/officeDocument/2006/customXml" ds:itemID="{083dd909-f257-4e0e-a6b2-c6e2ed0a9e25}">
  <ds:schemaRefs/>
</ds:datastoreItem>
</file>

<file path=customXml/itemProps4.xml><?xml version="1.0" encoding="utf-8"?>
<ds:datastoreItem xmlns:ds="http://schemas.openxmlformats.org/officeDocument/2006/customXml" ds:itemID="{b4bfc445-89af-4b96-90c0-6d295f5b6867}">
  <ds:schemaRefs/>
</ds:datastoreItem>
</file>

<file path=customXml/itemProps5.xml><?xml version="1.0" encoding="utf-8"?>
<ds:datastoreItem xmlns:ds="http://schemas.openxmlformats.org/officeDocument/2006/customXml" ds:itemID="{06a9f08b-25a2-4633-92ef-7b2670d310c8}">
  <ds:schemaRefs/>
</ds:datastoreItem>
</file>

<file path=customXml/itemProps6.xml><?xml version="1.0" encoding="utf-8"?>
<ds:datastoreItem xmlns:ds="http://schemas.openxmlformats.org/officeDocument/2006/customXml" ds:itemID="{9e3e6e83-ae46-42f4-ac71-f4134f27fe24}">
  <ds:schemaRefs/>
</ds:datastoreItem>
</file>

<file path=customXml/itemProps7.xml><?xml version="1.0" encoding="utf-8"?>
<ds:datastoreItem xmlns:ds="http://schemas.openxmlformats.org/officeDocument/2006/customXml" ds:itemID="{f80f6f15-50af-4517-8901-2fc3cdc700b0}">
  <ds:schemaRefs/>
</ds:datastoreItem>
</file>

<file path=customXml/itemProps8.xml><?xml version="1.0" encoding="utf-8"?>
<ds:datastoreItem xmlns:ds="http://schemas.openxmlformats.org/officeDocument/2006/customXml" ds:itemID="{14134612-5d94-4fd9-91f5-4aaead99bb33}">
  <ds:schemaRefs/>
</ds:datastoreItem>
</file>

<file path=customXml/itemProps9.xml><?xml version="1.0" encoding="utf-8"?>
<ds:datastoreItem xmlns:ds="http://schemas.openxmlformats.org/officeDocument/2006/customXml" ds:itemID="{69399b92-f830-4c9f-bd1b-feef49efa25b}">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6552</Words>
  <Characters>7202</Characters>
  <Lines>0</Lines>
  <Paragraphs>0</Paragraphs>
  <TotalTime>1</TotalTime>
  <ScaleCrop>false</ScaleCrop>
  <LinksUpToDate>false</LinksUpToDate>
  <CharactersWithSpaces>7208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kw</cp:lastModifiedBy>
  <dcterms:modified xsi:type="dcterms:W3CDTF">2024-09-10T09:41:51Z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