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4318A">
      <w:pPr>
        <w:spacing w:before="100" w:beforeLines="0" w:after="100" w:afterLines="0"/>
        <w:jc w:val="center"/>
        <w:rPr>
          <w:rFonts w:hint="eastAsia" w:ascii="宋体" w:hAnsi="宋体"/>
          <w:sz w:val="24"/>
          <w:szCs w:val="24"/>
          <w:lang w:val="zh-CN"/>
        </w:rPr>
      </w:pPr>
    </w:p>
    <w:p w14:paraId="17B95BF2">
      <w:pPr>
        <w:spacing w:before="100" w:beforeLines="0" w:after="100" w:afterLines="0"/>
        <w:jc w:val="center"/>
        <w:rPr>
          <w:rFonts w:hint="eastAsia" w:ascii="宋体" w:hAnsi="宋体"/>
          <w:sz w:val="24"/>
          <w:szCs w:val="24"/>
          <w:lang w:val="zh-CN"/>
        </w:rPr>
      </w:pPr>
    </w:p>
    <w:p w14:paraId="314711F1">
      <w:pPr>
        <w:spacing w:before="100" w:beforeLines="0" w:after="100" w:afterLines="0"/>
        <w:jc w:val="center"/>
        <w:rPr>
          <w:rFonts w:hint="eastAsia" w:ascii="宋体" w:hAnsi="宋体"/>
          <w:sz w:val="24"/>
          <w:szCs w:val="24"/>
          <w:lang w:val="zh-CN"/>
        </w:rPr>
      </w:pPr>
    </w:p>
    <w:p w14:paraId="0FF8BE37">
      <w:pPr>
        <w:spacing w:before="100" w:beforeLines="0" w:after="100" w:afterLines="0"/>
        <w:jc w:val="center"/>
        <w:rPr>
          <w:rFonts w:hint="eastAsia" w:ascii="宋体" w:hAnsi="宋体"/>
          <w:sz w:val="24"/>
          <w:szCs w:val="24"/>
          <w:lang w:val="zh-CN"/>
        </w:rPr>
      </w:pPr>
    </w:p>
    <w:p w14:paraId="62B21043">
      <w:pPr>
        <w:spacing w:before="100" w:beforeLines="0" w:after="100" w:afterLines="0"/>
        <w:jc w:val="center"/>
        <w:rPr>
          <w:rFonts w:hint="eastAsia" w:ascii="宋体" w:hAnsi="宋体"/>
          <w:sz w:val="24"/>
          <w:szCs w:val="24"/>
          <w:lang w:val="zh-CN"/>
        </w:rPr>
      </w:pPr>
    </w:p>
    <w:p w14:paraId="0C00AFCD">
      <w:pPr>
        <w:spacing w:before="100" w:beforeLines="0" w:after="100" w:afterLines="0"/>
        <w:jc w:val="center"/>
        <w:rPr>
          <w:rFonts w:hint="eastAsia" w:ascii="宋体" w:hAnsi="宋体"/>
          <w:sz w:val="24"/>
          <w:szCs w:val="24"/>
          <w:lang w:val="zh-CN"/>
        </w:rPr>
      </w:pPr>
    </w:p>
    <w:p w14:paraId="64C3717C">
      <w:pPr>
        <w:spacing w:before="100" w:beforeLines="0" w:after="100" w:afterLines="0"/>
        <w:jc w:val="center"/>
        <w:rPr>
          <w:rFonts w:hint="eastAsia" w:ascii="宋体" w:hAnsi="宋体"/>
          <w:sz w:val="24"/>
          <w:szCs w:val="24"/>
          <w:lang w:val="zh-CN"/>
        </w:rPr>
      </w:pPr>
    </w:p>
    <w:p w14:paraId="6AA6F05B">
      <w:pPr>
        <w:spacing w:before="100" w:beforeLines="0" w:after="100" w:afterLines="0"/>
        <w:jc w:val="center"/>
        <w:rPr>
          <w:rFonts w:hint="eastAsia" w:ascii="宋体" w:hAnsi="宋体"/>
          <w:sz w:val="24"/>
          <w:szCs w:val="24"/>
          <w:lang w:val="zh-CN"/>
        </w:rPr>
      </w:pPr>
    </w:p>
    <w:p w14:paraId="766BB28F">
      <w:pPr>
        <w:spacing w:before="100" w:beforeLines="0" w:after="100" w:afterLines="0"/>
        <w:jc w:val="center"/>
        <w:rPr>
          <w:rFonts w:hint="eastAsia" w:ascii="宋体" w:hAnsi="宋体"/>
          <w:sz w:val="24"/>
          <w:szCs w:val="24"/>
          <w:lang w:val="zh-CN"/>
        </w:rPr>
      </w:pPr>
    </w:p>
    <w:p w14:paraId="598BE205">
      <w:pPr>
        <w:spacing w:before="100" w:beforeLines="0" w:after="100" w:afterLines="0"/>
        <w:jc w:val="center"/>
        <w:rPr>
          <w:rFonts w:hint="eastAsia" w:ascii="宋体" w:hAnsi="宋体"/>
          <w:sz w:val="24"/>
          <w:szCs w:val="24"/>
          <w:lang w:val="zh-CN"/>
        </w:rPr>
      </w:pPr>
    </w:p>
    <w:p w14:paraId="5982D91C">
      <w:pPr>
        <w:spacing w:before="100" w:beforeLines="0" w:after="100" w:afterLines="0"/>
        <w:jc w:val="center"/>
        <w:rPr>
          <w:rFonts w:hint="eastAsia" w:ascii="宋体" w:hAnsi="宋体"/>
          <w:sz w:val="24"/>
          <w:szCs w:val="24"/>
          <w:lang w:val="zh-CN"/>
        </w:rPr>
      </w:pPr>
    </w:p>
    <w:p w14:paraId="0D591CC2">
      <w:pPr>
        <w:spacing w:before="100" w:beforeLines="0" w:after="100" w:afterLines="0"/>
        <w:jc w:val="center"/>
        <w:rPr>
          <w:rFonts w:hint="eastAsia" w:ascii="仿宋" w:hAnsi="仿宋" w:eastAsia="仿宋" w:cs="仿宋"/>
          <w:sz w:val="44"/>
          <w:szCs w:val="44"/>
          <w:lang w:val="zh-CN"/>
        </w:rPr>
      </w:pPr>
    </w:p>
    <w:p w14:paraId="2DFCFA0D">
      <w:pPr>
        <w:spacing w:before="100" w:beforeLines="0" w:after="100" w:afterLines="0"/>
        <w:jc w:val="center"/>
        <w:rPr>
          <w:rFonts w:hint="eastAsia" w:ascii="仿宋" w:hAnsi="仿宋" w:eastAsia="仿宋" w:cs="仿宋"/>
          <w:sz w:val="44"/>
          <w:szCs w:val="44"/>
          <w:lang w:val="zh-CN"/>
        </w:rPr>
      </w:pPr>
      <w:r>
        <w:rPr>
          <w:rFonts w:hint="eastAsia" w:ascii="仿宋" w:hAnsi="仿宋" w:eastAsia="仿宋" w:cs="仿宋"/>
          <w:sz w:val="44"/>
          <w:szCs w:val="44"/>
          <w:lang w:val="zh-CN"/>
        </w:rPr>
        <w:t>2023年度</w:t>
      </w:r>
    </w:p>
    <w:p w14:paraId="27D37014">
      <w:pPr>
        <w:spacing w:before="100" w:beforeLines="0" w:after="100" w:afterLines="0"/>
        <w:jc w:val="center"/>
        <w:rPr>
          <w:rFonts w:hint="eastAsia" w:ascii="仿宋" w:hAnsi="仿宋" w:eastAsia="仿宋" w:cs="仿宋"/>
          <w:sz w:val="44"/>
          <w:szCs w:val="44"/>
          <w:lang w:val="zh-CN"/>
        </w:rPr>
      </w:pPr>
      <w:r>
        <w:rPr>
          <w:rFonts w:hint="eastAsia" w:ascii="仿宋" w:hAnsi="仿宋" w:eastAsia="仿宋" w:cs="仿宋"/>
          <w:sz w:val="44"/>
          <w:szCs w:val="44"/>
          <w:lang w:val="zh-CN"/>
        </w:rPr>
        <w:t>华池县红十字会部门决算</w:t>
      </w:r>
    </w:p>
    <w:p w14:paraId="7E399DFD">
      <w:pPr>
        <w:spacing w:before="100" w:beforeLines="0" w:after="100" w:afterLines="0"/>
        <w:jc w:val="center"/>
        <w:rPr>
          <w:rFonts w:hint="eastAsia" w:ascii="宋体" w:hAnsi="宋体"/>
          <w:sz w:val="24"/>
          <w:szCs w:val="24"/>
          <w:lang w:val="zh-CN"/>
        </w:rPr>
      </w:pPr>
    </w:p>
    <w:p w14:paraId="516772DE">
      <w:pPr>
        <w:spacing w:before="100" w:beforeLines="0" w:after="100" w:afterLines="0"/>
        <w:jc w:val="center"/>
        <w:rPr>
          <w:rFonts w:hint="eastAsia" w:ascii="宋体" w:hAnsi="宋体"/>
          <w:sz w:val="24"/>
          <w:szCs w:val="24"/>
          <w:lang w:val="zh-CN"/>
        </w:rPr>
      </w:pPr>
    </w:p>
    <w:p w14:paraId="1518E04C">
      <w:pPr>
        <w:spacing w:before="100" w:beforeLines="0" w:after="100" w:afterLines="0"/>
        <w:jc w:val="center"/>
        <w:rPr>
          <w:rFonts w:hint="eastAsia" w:ascii="宋体" w:hAnsi="宋体"/>
          <w:sz w:val="24"/>
          <w:szCs w:val="24"/>
          <w:lang w:val="zh-CN"/>
        </w:rPr>
      </w:pPr>
    </w:p>
    <w:p w14:paraId="206D0C86">
      <w:pPr>
        <w:spacing w:before="100" w:beforeLines="0" w:after="100" w:afterLines="0"/>
        <w:jc w:val="center"/>
        <w:rPr>
          <w:rFonts w:hint="eastAsia" w:ascii="宋体" w:hAnsi="宋体"/>
          <w:sz w:val="24"/>
          <w:szCs w:val="24"/>
          <w:lang w:val="zh-CN"/>
        </w:rPr>
      </w:pPr>
    </w:p>
    <w:p w14:paraId="34AA5C15">
      <w:pPr>
        <w:spacing w:before="100" w:beforeLines="0" w:after="100" w:afterLines="0"/>
        <w:jc w:val="center"/>
        <w:rPr>
          <w:rFonts w:hint="eastAsia" w:ascii="宋体" w:hAnsi="宋体"/>
          <w:sz w:val="24"/>
          <w:szCs w:val="24"/>
          <w:lang w:val="zh-CN"/>
        </w:rPr>
      </w:pPr>
    </w:p>
    <w:p w14:paraId="6E86E319">
      <w:pPr>
        <w:spacing w:before="100" w:beforeLines="0" w:after="100" w:afterLines="0"/>
        <w:jc w:val="center"/>
        <w:rPr>
          <w:rFonts w:hint="eastAsia" w:ascii="宋体" w:hAnsi="宋体"/>
          <w:sz w:val="24"/>
          <w:szCs w:val="24"/>
          <w:lang w:val="zh-CN"/>
        </w:rPr>
      </w:pPr>
    </w:p>
    <w:p w14:paraId="75FF1622">
      <w:pPr>
        <w:spacing w:before="100" w:beforeLines="0" w:after="100" w:afterLines="0"/>
        <w:jc w:val="center"/>
        <w:rPr>
          <w:rFonts w:hint="eastAsia" w:ascii="宋体" w:hAnsi="宋体"/>
          <w:sz w:val="24"/>
          <w:szCs w:val="24"/>
          <w:lang w:val="zh-CN"/>
        </w:rPr>
      </w:pPr>
    </w:p>
    <w:p w14:paraId="62C2889C">
      <w:pPr>
        <w:spacing w:before="100" w:beforeLines="0" w:after="100" w:afterLines="0"/>
        <w:jc w:val="center"/>
        <w:rPr>
          <w:rFonts w:hint="eastAsia" w:ascii="宋体" w:hAnsi="宋体"/>
          <w:sz w:val="24"/>
          <w:szCs w:val="24"/>
          <w:lang w:val="zh-CN"/>
        </w:rPr>
      </w:pPr>
    </w:p>
    <w:p w14:paraId="7FFC4661">
      <w:pPr>
        <w:spacing w:before="100" w:beforeLines="0" w:after="100" w:afterLines="0"/>
        <w:jc w:val="center"/>
        <w:rPr>
          <w:rFonts w:hint="eastAsia" w:ascii="宋体" w:hAnsi="宋体"/>
          <w:sz w:val="24"/>
          <w:szCs w:val="24"/>
          <w:lang w:val="zh-CN"/>
        </w:rPr>
      </w:pPr>
    </w:p>
    <w:p w14:paraId="414F2ACE">
      <w:pPr>
        <w:spacing w:before="100" w:beforeLines="0" w:after="100" w:afterLines="0"/>
        <w:jc w:val="center"/>
        <w:rPr>
          <w:rFonts w:hint="eastAsia" w:ascii="宋体" w:hAnsi="宋体"/>
          <w:sz w:val="24"/>
          <w:szCs w:val="24"/>
          <w:lang w:val="zh-CN"/>
        </w:rPr>
      </w:pPr>
    </w:p>
    <w:p w14:paraId="32675126">
      <w:pPr>
        <w:spacing w:before="100" w:beforeLines="0" w:after="100" w:afterLines="0"/>
        <w:jc w:val="center"/>
        <w:rPr>
          <w:rFonts w:hint="eastAsia" w:ascii="宋体" w:hAnsi="宋体"/>
          <w:sz w:val="24"/>
          <w:szCs w:val="24"/>
          <w:lang w:val="zh-CN"/>
        </w:rPr>
      </w:pPr>
    </w:p>
    <w:p w14:paraId="0AD063C0">
      <w:pPr>
        <w:spacing w:before="100" w:beforeLines="0" w:after="100" w:afterLines="0"/>
        <w:jc w:val="center"/>
        <w:rPr>
          <w:rFonts w:hint="eastAsia" w:ascii="宋体" w:hAnsi="宋体"/>
          <w:sz w:val="24"/>
          <w:szCs w:val="24"/>
          <w:lang w:val="zh-CN"/>
        </w:rPr>
      </w:pPr>
    </w:p>
    <w:p w14:paraId="058FFCCA">
      <w:pPr>
        <w:spacing w:before="100" w:beforeLines="0" w:after="100" w:afterLines="0"/>
        <w:jc w:val="center"/>
        <w:rPr>
          <w:rFonts w:hint="eastAsia" w:ascii="宋体" w:hAnsi="宋体"/>
          <w:sz w:val="24"/>
          <w:szCs w:val="24"/>
          <w:lang w:val="zh-CN"/>
        </w:rPr>
      </w:pPr>
    </w:p>
    <w:p w14:paraId="032F9A78">
      <w:pPr>
        <w:spacing w:before="100" w:beforeLines="0" w:after="100" w:afterLines="0"/>
        <w:jc w:val="center"/>
        <w:rPr>
          <w:rFonts w:hint="eastAsia" w:ascii="宋体" w:hAnsi="宋体"/>
          <w:sz w:val="24"/>
          <w:szCs w:val="24"/>
          <w:lang w:val="zh-CN"/>
        </w:rPr>
      </w:pPr>
    </w:p>
    <w:p w14:paraId="41B459C1">
      <w:pPr>
        <w:spacing w:before="100" w:beforeLines="0" w:after="100" w:afterLines="0"/>
        <w:jc w:val="center"/>
        <w:rPr>
          <w:rFonts w:hint="eastAsia" w:ascii="宋体" w:hAnsi="宋体"/>
          <w:sz w:val="24"/>
          <w:szCs w:val="24"/>
          <w:lang w:val="zh-CN"/>
        </w:rPr>
      </w:pPr>
    </w:p>
    <w:p w14:paraId="6FD5D493">
      <w:pPr>
        <w:pageBreakBefore w:val="0"/>
        <w:kinsoku/>
        <w:wordWrap/>
        <w:overflowPunct/>
        <w:topLinePunct w:val="0"/>
        <w:autoSpaceDN/>
        <w:bidi w:val="0"/>
        <w:adjustRightInd/>
        <w:snapToGrid/>
        <w:spacing w:line="560" w:lineRule="exact"/>
        <w:jc w:val="center"/>
        <w:textAlignment w:val="auto"/>
        <w:rPr>
          <w:rFonts w:hint="eastAsia" w:ascii="宋体" w:hAnsi="宋体"/>
          <w:sz w:val="24"/>
          <w:szCs w:val="24"/>
          <w:lang w:val="zh-CN"/>
        </w:rPr>
      </w:pPr>
      <w:r>
        <w:rPr>
          <w:rFonts w:hint="eastAsia" w:ascii="宋体" w:hAnsi="宋体"/>
          <w:b/>
          <w:sz w:val="24"/>
          <w:szCs w:val="24"/>
          <w:lang w:val="zh-CN"/>
        </w:rPr>
        <w:t>目录</w:t>
      </w:r>
    </w:p>
    <w:p w14:paraId="791B5EFF">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b/>
          <w:sz w:val="24"/>
          <w:szCs w:val="24"/>
          <w:lang w:val="zh-CN"/>
        </w:rPr>
        <w:t>第一部分部门概况</w:t>
      </w:r>
    </w:p>
    <w:p w14:paraId="6C36DD52">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一、部门职责</w:t>
      </w:r>
    </w:p>
    <w:p w14:paraId="03560CAA">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二、机构设置</w:t>
      </w:r>
    </w:p>
    <w:p w14:paraId="2FD0253F">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b/>
          <w:sz w:val="24"/>
          <w:szCs w:val="24"/>
          <w:lang w:val="zh-CN"/>
        </w:rPr>
        <w:t>第二部分2023年度部门决算表</w:t>
      </w:r>
    </w:p>
    <w:p w14:paraId="22CCAA10">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一、收入支出决算总表</w:t>
      </w:r>
    </w:p>
    <w:p w14:paraId="66F370F8">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二、收入决算表</w:t>
      </w:r>
    </w:p>
    <w:p w14:paraId="3D57475D">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三、支出决算表</w:t>
      </w:r>
    </w:p>
    <w:p w14:paraId="3E299F11">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四、财政拨款收入支出决算总表</w:t>
      </w:r>
    </w:p>
    <w:p w14:paraId="0CC1EC46">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五、一般公共预算财政拨款支出决算表</w:t>
      </w:r>
    </w:p>
    <w:p w14:paraId="73947D38">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71CEC38B">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1E3332C6">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3DB593AC">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1E2A07CE">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b/>
          <w:sz w:val="24"/>
          <w:szCs w:val="24"/>
          <w:lang w:val="zh-CN"/>
        </w:rPr>
        <w:t>第三部分2023年度部门决算情况说明</w:t>
      </w:r>
    </w:p>
    <w:p w14:paraId="54CCCCE3">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一、收入支出决算总体情况说明</w:t>
      </w:r>
    </w:p>
    <w:p w14:paraId="79BF84C3">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二、收入决算情况说明</w:t>
      </w:r>
    </w:p>
    <w:p w14:paraId="342C9D63">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三、支出决算情况说明</w:t>
      </w:r>
    </w:p>
    <w:p w14:paraId="46D40FC2">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四、财政拨款收入支出决算总体情况说明</w:t>
      </w:r>
    </w:p>
    <w:p w14:paraId="7626D880">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6165F8E0">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1EE6507A">
      <w:pPr>
        <w:pageBreakBefore w:val="0"/>
        <w:kinsoku/>
        <w:wordWrap/>
        <w:overflowPunct/>
        <w:topLinePunct w:val="0"/>
        <w:autoSpaceDN/>
        <w:bidi w:val="0"/>
        <w:adjustRightInd/>
        <w:snapToGrid/>
        <w:spacing w:line="560" w:lineRule="exact"/>
        <w:jc w:val="left"/>
        <w:textAlignment w:val="auto"/>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59B8C929">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7B587161">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5F08229F">
      <w:pPr>
        <w:pageBreakBefore w:val="0"/>
        <w:kinsoku/>
        <w:wordWrap/>
        <w:overflowPunct/>
        <w:topLinePunct w:val="0"/>
        <w:autoSpaceDN/>
        <w:bidi w:val="0"/>
        <w:adjustRightInd/>
        <w:snapToGrid/>
        <w:spacing w:line="560" w:lineRule="exact"/>
        <w:jc w:val="left"/>
        <w:textAlignment w:val="auto"/>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4D20C99D">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十一、政府采购支出情况说明</w:t>
      </w:r>
    </w:p>
    <w:p w14:paraId="5B87EBF3">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十二、国有资产占用情况说明</w:t>
      </w:r>
    </w:p>
    <w:p w14:paraId="038D9B36">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sz w:val="24"/>
          <w:szCs w:val="24"/>
          <w:lang w:val="zh-CN"/>
        </w:rPr>
        <w:t>十三、其他需要说明的情况</w:t>
      </w:r>
    </w:p>
    <w:p w14:paraId="28FD9DB2">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b/>
          <w:sz w:val="24"/>
          <w:szCs w:val="24"/>
          <w:lang w:val="zh-CN"/>
        </w:rPr>
        <w:t>第四部分预算绩效情况说明</w:t>
      </w:r>
    </w:p>
    <w:p w14:paraId="6A6C884B">
      <w:pPr>
        <w:pageBreakBefore w:val="0"/>
        <w:kinsoku/>
        <w:wordWrap/>
        <w:overflowPunct/>
        <w:topLinePunct w:val="0"/>
        <w:autoSpaceDN/>
        <w:bidi w:val="0"/>
        <w:adjustRightInd/>
        <w:snapToGrid/>
        <w:spacing w:line="560" w:lineRule="exact"/>
        <w:jc w:val="left"/>
        <w:textAlignment w:val="auto"/>
        <w:rPr>
          <w:rFonts w:hint="eastAsia" w:ascii="宋体" w:hAnsi="宋体"/>
          <w:sz w:val="24"/>
          <w:szCs w:val="24"/>
          <w:lang w:val="zh-CN"/>
        </w:rPr>
      </w:pPr>
      <w:r>
        <w:rPr>
          <w:rFonts w:hint="eastAsia" w:ascii="宋体" w:hAnsi="宋体"/>
          <w:b/>
          <w:sz w:val="24"/>
          <w:szCs w:val="24"/>
          <w:lang w:val="zh-CN"/>
        </w:rPr>
        <w:t>第五部分名词解释</w:t>
      </w:r>
    </w:p>
    <w:p w14:paraId="4769C783">
      <w:pPr>
        <w:pageBreakBefore w:val="0"/>
        <w:kinsoku/>
        <w:wordWrap/>
        <w:overflowPunct/>
        <w:topLinePunct w:val="0"/>
        <w:autoSpaceDN/>
        <w:bidi w:val="0"/>
        <w:adjustRightInd/>
        <w:snapToGrid/>
        <w:spacing w:line="560" w:lineRule="exact"/>
        <w:jc w:val="center"/>
        <w:textAlignment w:val="auto"/>
        <w:rPr>
          <w:rFonts w:hint="eastAsia" w:ascii="宋体" w:hAnsi="宋体"/>
          <w:sz w:val="24"/>
          <w:szCs w:val="24"/>
          <w:lang w:val="zh-CN"/>
        </w:rPr>
      </w:pPr>
    </w:p>
    <w:p w14:paraId="42E011E4">
      <w:pPr>
        <w:pageBreakBefore w:val="0"/>
        <w:kinsoku/>
        <w:wordWrap/>
        <w:overflowPunct/>
        <w:topLinePunct w:val="0"/>
        <w:autoSpaceDN/>
        <w:bidi w:val="0"/>
        <w:adjustRightInd/>
        <w:snapToGrid/>
        <w:spacing w:line="560" w:lineRule="exact"/>
        <w:jc w:val="center"/>
        <w:textAlignment w:val="auto"/>
        <w:rPr>
          <w:rFonts w:hint="eastAsia" w:ascii="宋体" w:hAnsi="宋体"/>
          <w:sz w:val="24"/>
          <w:szCs w:val="24"/>
          <w:lang w:val="zh-CN"/>
        </w:rPr>
      </w:pPr>
      <w:r>
        <w:rPr>
          <w:rFonts w:hint="eastAsia" w:ascii="宋体" w:hAnsi="宋体"/>
          <w:b/>
          <w:sz w:val="24"/>
          <w:szCs w:val="24"/>
          <w:lang w:val="zh-CN"/>
        </w:rPr>
        <w:t>第一部分部门概况</w:t>
      </w:r>
    </w:p>
    <w:p w14:paraId="509F3504">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sz w:val="24"/>
          <w:szCs w:val="24"/>
          <w:lang w:val="zh-CN"/>
        </w:rPr>
      </w:pPr>
      <w:r>
        <w:rPr>
          <w:rFonts w:hint="eastAsia" w:ascii="宋体" w:hAnsi="宋体"/>
          <w:b/>
          <w:bCs/>
          <w:sz w:val="24"/>
          <w:szCs w:val="24"/>
          <w:lang w:val="zh-CN"/>
        </w:rPr>
        <w:t>一、部门职责</w:t>
      </w:r>
    </w:p>
    <w:p w14:paraId="10C0F389">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县红十字会是中国红十字会的地方组织，其主要职责是：</w:t>
      </w:r>
    </w:p>
    <w:p w14:paraId="4FE06590">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1、宣传、贯彻、执行《中华人民共和国红十字会法》、《中国红十字会章程》和《中华人民共和国红十字标志使用办法》，组织落实中国红十字会、省、市红十字会工作的方针、政策；指导全县各级及行业红十字会开展活动，推动全县红十字会各项工作的开展；负责红十字（会）冠名工作，纠正滥用红十字标志现象。</w:t>
      </w:r>
    </w:p>
    <w:p w14:paraId="60DC03FA">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2、开展救灾的准备工作，建设和管理备灾救灾设施，在自然灾害和突发事件中，开展救护和救助工作；依法接受国内外组织和个人的捐赠，及时向灾区群众和受难者提供急需的人道主义援助。</w:t>
      </w:r>
    </w:p>
    <w:p w14:paraId="1CB3DF11">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3、开展卫生救护和防病知识的宣传普及；在易发生意外伤害的行业和基层组织开展初级卫生救护培训，组织群众参加意外伤害和自然灾害的现场救护。</w:t>
      </w:r>
    </w:p>
    <w:p w14:paraId="166AE0FC">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4、协助县人民政府开展无偿献血的宣传推动工作，共同对红十字工作先进单位和先进个人进行表彰奖励；开展捐献造血干细胞的宣传动员、组织工作；推动遗体（器官）自愿捐献工作；开展预防控制艾滋病宣传和健康教育、关心爱护艾滋病病毒感染者、患者及其他救护工作；开展其他人道主义救助工作。</w:t>
      </w:r>
    </w:p>
    <w:p w14:paraId="53CAEF4D">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5、开展社会服务及社区红十字服务工作；组织会员和志愿工作者开展人道领域内的社会服务、宣传培训、募捐救助活动。</w:t>
      </w:r>
    </w:p>
    <w:p w14:paraId="34FC28B0">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6、依法开展社会募捐活动；参与国际人道主义救援工作；开展与国内外红十字会的友好合作与交流工作。</w:t>
      </w:r>
    </w:p>
    <w:p w14:paraId="6DB56C23">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7、开展有益于青少年身心健康、弘扬人道主义精神的红十字会青少年活动。</w:t>
      </w:r>
    </w:p>
    <w:p w14:paraId="0796B452">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sz w:val="24"/>
          <w:szCs w:val="24"/>
          <w:lang w:val="zh-CN"/>
        </w:rPr>
      </w:pPr>
      <w:r>
        <w:rPr>
          <w:rFonts w:hint="eastAsia" w:ascii="宋体" w:hAnsi="宋体"/>
          <w:b/>
          <w:bCs/>
          <w:sz w:val="24"/>
          <w:szCs w:val="24"/>
          <w:lang w:val="zh-CN"/>
        </w:rPr>
        <w:t>二、机构设置</w:t>
      </w:r>
    </w:p>
    <w:p w14:paraId="3C226F1E">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bCs/>
          <w:color w:val="000000"/>
          <w:sz w:val="24"/>
          <w:szCs w:val="24"/>
        </w:rPr>
        <w:t>（1）机关内设机构</w:t>
      </w:r>
    </w:p>
    <w:p w14:paraId="021ACC94">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5"/>
        <w:textAlignment w:val="auto"/>
        <w:rPr>
          <w:rFonts w:hint="eastAsia" w:ascii="宋体" w:hAnsi="宋体" w:eastAsia="宋体" w:cs="宋体"/>
          <w:sz w:val="24"/>
          <w:szCs w:val="24"/>
        </w:rPr>
      </w:pPr>
      <w:r>
        <w:rPr>
          <w:rFonts w:hint="eastAsia" w:ascii="宋体" w:hAnsi="宋体" w:eastAsia="宋体" w:cs="宋体"/>
          <w:sz w:val="24"/>
          <w:szCs w:val="24"/>
        </w:rPr>
        <w:t>华池县红十字会内设机构0个股室。</w:t>
      </w:r>
    </w:p>
    <w:p w14:paraId="777BBAC5">
      <w:pPr>
        <w:pStyle w:val="5"/>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（2）人员情况</w:t>
      </w:r>
    </w:p>
    <w:p w14:paraId="2CE25B4E">
      <w:pPr>
        <w:pStyle w:val="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jc w:val="both"/>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202</w:t>
      </w:r>
      <w:r>
        <w:rPr>
          <w:rFonts w:hint="eastAsia" w:cs="宋体"/>
          <w:sz w:val="24"/>
          <w:szCs w:val="24"/>
          <w:shd w:val="clear" w:color="auto" w:fill="FFFFFF"/>
          <w:lang w:val="en-US" w:eastAsia="zh-CN"/>
        </w:rPr>
        <w:t>2</w:t>
      </w:r>
      <w:r>
        <w:rPr>
          <w:rFonts w:hint="eastAsia" w:ascii="宋体" w:hAnsi="宋体" w:eastAsia="宋体" w:cs="宋体"/>
          <w:sz w:val="24"/>
          <w:szCs w:val="24"/>
          <w:shd w:val="clear" w:color="auto" w:fill="FFFFFF"/>
        </w:rPr>
        <w:t>年度，我单位共有编制5名，其中：行政编制0名，参公事业编制5名，事业编制0名，后勤编制0名。财政供养总人数</w:t>
      </w:r>
      <w:r>
        <w:rPr>
          <w:rFonts w:hint="eastAsia" w:cs="宋体"/>
          <w:sz w:val="24"/>
          <w:szCs w:val="24"/>
          <w:shd w:val="clear" w:color="auto" w:fill="FFFFFF"/>
          <w:lang w:val="en-US" w:eastAsia="zh-CN"/>
        </w:rPr>
        <w:t>5</w:t>
      </w:r>
      <w:r>
        <w:rPr>
          <w:rFonts w:hint="eastAsia" w:ascii="宋体" w:hAnsi="宋体" w:eastAsia="宋体" w:cs="宋体"/>
          <w:sz w:val="24"/>
          <w:szCs w:val="24"/>
          <w:shd w:val="clear" w:color="auto" w:fill="FFFFFF"/>
        </w:rPr>
        <w:t>人，其中：在职人员</w:t>
      </w:r>
      <w:r>
        <w:rPr>
          <w:rFonts w:hint="eastAsia" w:cs="宋体"/>
          <w:sz w:val="24"/>
          <w:szCs w:val="24"/>
          <w:shd w:val="clear" w:color="auto" w:fill="FFFFFF"/>
          <w:lang w:val="en-US" w:eastAsia="zh-CN"/>
        </w:rPr>
        <w:t>5</w:t>
      </w:r>
      <w:r>
        <w:rPr>
          <w:rFonts w:hint="eastAsia" w:ascii="宋体" w:hAnsi="宋体" w:eastAsia="宋体" w:cs="宋体"/>
          <w:sz w:val="24"/>
          <w:szCs w:val="24"/>
          <w:shd w:val="clear" w:color="auto" w:fill="FFFFFF"/>
        </w:rPr>
        <w:t>人，雇佣人员0人，离退休0人，遗属0人。</w:t>
      </w:r>
    </w:p>
    <w:p w14:paraId="7785C424">
      <w:pPr>
        <w:pageBreakBefore w:val="0"/>
        <w:kinsoku/>
        <w:wordWrap/>
        <w:overflowPunct/>
        <w:topLinePunct w:val="0"/>
        <w:autoSpaceDN/>
        <w:bidi w:val="0"/>
        <w:adjustRightInd/>
        <w:snapToGrid/>
        <w:spacing w:line="560" w:lineRule="exact"/>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r>
        <w:rPr>
          <w:rFonts w:hint="eastAsia" w:ascii="宋体" w:hAnsi="宋体"/>
          <w:b/>
          <w:color w:val="auto"/>
          <w:sz w:val="24"/>
          <w:szCs w:val="24"/>
          <w:lang w:val="en-US" w:eastAsia="zh-CN"/>
        </w:rPr>
        <w:t>详见附件</w:t>
      </w:r>
      <w:r>
        <w:rPr>
          <w:rFonts w:hint="eastAsia" w:ascii="宋体" w:hAnsi="宋体"/>
          <w:b/>
          <w:color w:val="auto"/>
          <w:sz w:val="24"/>
          <w:szCs w:val="24"/>
          <w:lang w:val="zh-CN"/>
        </w:rPr>
        <w:t>）</w:t>
      </w:r>
    </w:p>
    <w:p w14:paraId="286F9A47">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收入支出决算总表</w:t>
      </w:r>
    </w:p>
    <w:p w14:paraId="23EE368E">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二、收入决算表</w:t>
      </w:r>
    </w:p>
    <w:p w14:paraId="6E64901A">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三、支出决算表</w:t>
      </w:r>
    </w:p>
    <w:p w14:paraId="440D8170">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四、财政拨款收入支出决算总表</w:t>
      </w:r>
    </w:p>
    <w:p w14:paraId="0AFB2F0E">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五、一般公共预算财政拨款支出决算表</w:t>
      </w:r>
    </w:p>
    <w:p w14:paraId="4BF3920A">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六、一般公共预算财政拨款基本支出决算明细表</w:t>
      </w:r>
    </w:p>
    <w:p w14:paraId="3249B2C2">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七、政府性基金预算财政拨款收入支出决算表</w:t>
      </w:r>
    </w:p>
    <w:p w14:paraId="20E8EC1C">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八、国有资本经营预算财政拨款支出决算表</w:t>
      </w:r>
    </w:p>
    <w:p w14:paraId="19C9864F">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rPr>
      </w:pPr>
      <w:r>
        <w:rPr>
          <w:rFonts w:hint="eastAsia" w:ascii="宋体" w:hAnsi="宋体"/>
          <w:b/>
          <w:bCs/>
          <w:color w:val="auto"/>
          <w:sz w:val="24"/>
          <w:szCs w:val="24"/>
          <w:lang w:val="zh-CN"/>
        </w:rPr>
        <w:t>九、财政拨款</w:t>
      </w:r>
      <w:r>
        <w:rPr>
          <w:rFonts w:hint="default" w:ascii="宋体" w:hAnsi="宋体"/>
          <w:b/>
          <w:bCs/>
          <w:color w:val="auto"/>
          <w:sz w:val="24"/>
          <w:szCs w:val="24"/>
          <w:lang w:val="zh-CN"/>
        </w:rPr>
        <w:t>“</w:t>
      </w:r>
      <w:r>
        <w:rPr>
          <w:rFonts w:hint="eastAsia" w:ascii="宋体" w:hAnsi="宋体"/>
          <w:b/>
          <w:bCs/>
          <w:color w:val="auto"/>
          <w:sz w:val="24"/>
          <w:szCs w:val="24"/>
          <w:lang w:val="zh-CN"/>
        </w:rPr>
        <w:t>三公</w:t>
      </w:r>
      <w:r>
        <w:rPr>
          <w:rFonts w:hint="default" w:ascii="宋体" w:hAnsi="宋体"/>
          <w:b/>
          <w:bCs/>
          <w:color w:val="auto"/>
          <w:sz w:val="24"/>
          <w:szCs w:val="24"/>
          <w:lang w:val="zh-CN"/>
        </w:rPr>
        <w:t>”</w:t>
      </w:r>
      <w:r>
        <w:rPr>
          <w:rFonts w:hint="eastAsia" w:ascii="宋体" w:hAnsi="宋体"/>
          <w:b/>
          <w:bCs/>
          <w:color w:val="auto"/>
          <w:sz w:val="24"/>
          <w:szCs w:val="24"/>
          <w:lang w:val="zh-CN"/>
        </w:rPr>
        <w:t>经费支出决算表</w:t>
      </w:r>
    </w:p>
    <w:p w14:paraId="299A3490">
      <w:pPr>
        <w:pageBreakBefore w:val="0"/>
        <w:kinsoku/>
        <w:wordWrap/>
        <w:overflowPunct/>
        <w:topLinePunct w:val="0"/>
        <w:autoSpaceDN/>
        <w:bidi w:val="0"/>
        <w:adjustRightInd/>
        <w:snapToGrid/>
        <w:spacing w:line="560" w:lineRule="exact"/>
        <w:jc w:val="center"/>
        <w:textAlignment w:val="auto"/>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411034B4">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38DA6C8E">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85.26万元。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减少14.47万元,下降14.51%,主要原因是</w:t>
      </w:r>
      <w:r>
        <w:rPr>
          <w:rFonts w:hint="eastAsia" w:ascii="宋体" w:hAnsi="宋体"/>
          <w:color w:val="auto"/>
          <w:sz w:val="24"/>
          <w:szCs w:val="24"/>
          <w:lang w:val="en-US" w:eastAsia="zh-CN"/>
        </w:rPr>
        <w:t>厉行节俭，压减公用经费</w:t>
      </w:r>
      <w:r>
        <w:rPr>
          <w:rFonts w:hint="eastAsia" w:ascii="宋体" w:hAnsi="宋体"/>
          <w:color w:val="auto"/>
          <w:sz w:val="24"/>
          <w:szCs w:val="24"/>
          <w:lang w:val="zh-CN"/>
        </w:rPr>
        <w:t>。(本部分的收入总计包括收入合计、使用非财政拨款结余（含专用结余）、年初结转和结余,支出总计包括本年支出合计、结余分配、年末结转和结余。)</w:t>
      </w:r>
    </w:p>
    <w:p w14:paraId="1598913A">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6556F539">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2023年度收入合计85.26万元,其中：财政拨款收入85.26万元,占100.00%。</w:t>
      </w:r>
    </w:p>
    <w:p w14:paraId="3103A2E2">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08A92A83">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2023年度支出合计85.26万元,其中：基本支出85.26万元,占100.00%。</w:t>
      </w:r>
    </w:p>
    <w:p w14:paraId="304CC5D6">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18F7A724">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85.26万元。与</w:t>
      </w:r>
      <w:r>
        <w:rPr>
          <w:rFonts w:hint="eastAsia" w:ascii="宋体" w:hAnsi="宋体"/>
          <w:color w:val="auto"/>
          <w:sz w:val="24"/>
          <w:szCs w:val="24"/>
          <w:lang w:val="en-US"/>
        </w:rPr>
        <w:t>上</w:t>
      </w:r>
      <w:r>
        <w:rPr>
          <w:rFonts w:hint="eastAsia" w:ascii="宋体" w:hAnsi="宋体"/>
          <w:color w:val="auto"/>
          <w:sz w:val="24"/>
          <w:szCs w:val="24"/>
          <w:lang w:val="zh-CN"/>
        </w:rPr>
        <w:t>年相比,各减少14.47万元,下降14.51%。主要原因是</w:t>
      </w:r>
      <w:r>
        <w:rPr>
          <w:rFonts w:hint="eastAsia" w:ascii="宋体" w:hAnsi="宋体"/>
          <w:color w:val="auto"/>
          <w:sz w:val="24"/>
          <w:szCs w:val="24"/>
          <w:lang w:val="en-US" w:eastAsia="zh-CN"/>
        </w:rPr>
        <w:t>厉行节俭，压减公用经费</w:t>
      </w:r>
      <w:r>
        <w:rPr>
          <w:rFonts w:hint="eastAsia" w:ascii="宋体" w:hAnsi="宋体"/>
          <w:color w:val="auto"/>
          <w:sz w:val="24"/>
          <w:szCs w:val="24"/>
          <w:lang w:val="zh-CN"/>
        </w:rPr>
        <w:t>。</w:t>
      </w:r>
    </w:p>
    <w:p w14:paraId="00055818">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7FBA55D0">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（一）一般公共预算财政拨款支出决算总体情况</w:t>
      </w:r>
    </w:p>
    <w:p w14:paraId="677622FB">
      <w:pPr>
        <w:pageBreakBefore w:val="0"/>
        <w:kinsoku/>
        <w:wordWrap/>
        <w:overflowPunct/>
        <w:topLinePunct w:val="0"/>
        <w:autoSpaceDN/>
        <w:bidi w:val="0"/>
        <w:adjustRightInd/>
        <w:snapToGrid/>
        <w:spacing w:line="560" w:lineRule="exact"/>
        <w:ind w:firstLine="480" w:firstLineChars="200"/>
        <w:jc w:val="left"/>
        <w:textAlignment w:val="auto"/>
        <w:rPr>
          <w:rFonts w:hint="default" w:ascii="宋体" w:hAnsi="宋体" w:eastAsia="宋体"/>
          <w:color w:val="FF0000"/>
          <w:sz w:val="24"/>
          <w:szCs w:val="24"/>
          <w:lang w:val="en-US" w:eastAsia="zh-CN"/>
        </w:rPr>
      </w:pPr>
      <w:r>
        <w:rPr>
          <w:rFonts w:hint="eastAsia" w:ascii="宋体" w:hAnsi="宋体"/>
          <w:color w:val="auto"/>
          <w:sz w:val="24"/>
          <w:szCs w:val="24"/>
          <w:lang w:val="zh-CN"/>
        </w:rPr>
        <w:t>2023年度一般公共预算财政拨款支出85.26万元,较上年决算数增加4.64万元,增长5.76%。主要原因是</w:t>
      </w:r>
      <w:r>
        <w:rPr>
          <w:rFonts w:hint="eastAsia" w:ascii="宋体" w:hAnsi="宋体"/>
          <w:color w:val="auto"/>
          <w:sz w:val="24"/>
          <w:szCs w:val="24"/>
          <w:lang w:val="en-US" w:eastAsia="zh-CN"/>
        </w:rPr>
        <w:t>增资等。</w:t>
      </w:r>
    </w:p>
    <w:p w14:paraId="789F48F2">
      <w:pPr>
        <w:keepNext w:val="0"/>
        <w:keepLines w:val="0"/>
        <w:pageBreakBefore w:val="0"/>
        <w:widowControl/>
        <w:numPr>
          <w:ilvl w:val="0"/>
          <w:numId w:val="2"/>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000000" w:themeColor="text1"/>
          <w:sz w:val="24"/>
          <w:szCs w:val="24"/>
          <w:lang w:val="zh-CN"/>
          <w14:textFill>
            <w14:solidFill>
              <w14:schemeClr w14:val="tx1"/>
            </w14:solidFill>
          </w14:textFill>
        </w:rPr>
      </w:pPr>
      <w:r>
        <w:rPr>
          <w:rFonts w:hint="eastAsia" w:ascii="宋体" w:hAnsi="宋体"/>
          <w:b/>
          <w:bCs/>
          <w:color w:val="000000" w:themeColor="text1"/>
          <w:sz w:val="24"/>
          <w:szCs w:val="24"/>
          <w:lang w:val="zh-CN"/>
          <w14:textFill>
            <w14:solidFill>
              <w14:schemeClr w14:val="tx1"/>
            </w14:solidFill>
          </w14:textFill>
        </w:rPr>
        <w:t>一般公共预算财政拨款支出决算结构情况</w:t>
      </w:r>
    </w:p>
    <w:p w14:paraId="4A1E7ADB">
      <w:pPr>
        <w:pageBreakBefore w:val="0"/>
        <w:numPr>
          <w:ilvl w:val="0"/>
          <w:numId w:val="0"/>
        </w:numPr>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85.26万元，主要用于以下方面：社会保障和就业支出81.56万元,占95.66%；卫生健康支出3.69万元,占4.33%。</w:t>
      </w:r>
    </w:p>
    <w:p w14:paraId="7A824F7E">
      <w:pPr>
        <w:keepNext w:val="0"/>
        <w:keepLines w:val="0"/>
        <w:pageBreakBefore w:val="0"/>
        <w:widowControl/>
        <w:numPr>
          <w:ilvl w:val="0"/>
          <w:numId w:val="2"/>
        </w:numPr>
        <w:kinsoku/>
        <w:wordWrap/>
        <w:overflowPunct/>
        <w:topLinePunct w:val="0"/>
        <w:autoSpaceDE/>
        <w:autoSpaceDN/>
        <w:bidi w:val="0"/>
        <w:adjustRightInd/>
        <w:snapToGrid/>
        <w:spacing w:line="560" w:lineRule="exact"/>
        <w:ind w:left="0" w:leftChars="0" w:firstLine="482" w:firstLineChars="200"/>
        <w:jc w:val="left"/>
        <w:textAlignment w:val="auto"/>
        <w:rPr>
          <w:rFonts w:hint="eastAsia" w:ascii="宋体" w:hAnsi="宋体"/>
          <w:color w:val="000000" w:themeColor="text1"/>
          <w:sz w:val="24"/>
          <w:szCs w:val="24"/>
          <w:lang w:val="zh-CN"/>
          <w14:textFill>
            <w14:solidFill>
              <w14:schemeClr w14:val="tx1"/>
            </w14:solidFill>
          </w14:textFill>
        </w:rPr>
      </w:pPr>
      <w:r>
        <w:rPr>
          <w:rFonts w:hint="eastAsia" w:ascii="宋体" w:hAnsi="宋体"/>
          <w:b/>
          <w:bCs/>
          <w:color w:val="000000" w:themeColor="text1"/>
          <w:sz w:val="24"/>
          <w:szCs w:val="24"/>
          <w:lang w:val="zh-CN"/>
          <w14:textFill>
            <w14:solidFill>
              <w14:schemeClr w14:val="tx1"/>
            </w14:solidFill>
          </w14:textFill>
        </w:rPr>
        <w:t>一般公共预算财政拨款支出决算具体情况</w:t>
      </w:r>
      <w:r>
        <w:rPr>
          <w:rFonts w:hint="eastAsia" w:ascii="宋体" w:hAnsi="宋体"/>
          <w:color w:val="000000" w:themeColor="text1"/>
          <w:sz w:val="24"/>
          <w:szCs w:val="24"/>
          <w:lang w:val="zh-CN"/>
          <w14:textFill>
            <w14:solidFill>
              <w14:schemeClr w14:val="tx1"/>
            </w14:solidFill>
          </w14:textFill>
        </w:rPr>
        <w:t>。</w:t>
      </w:r>
    </w:p>
    <w:p w14:paraId="4C825690">
      <w:pPr>
        <w:pageBreakBefore w:val="0"/>
        <w:numPr>
          <w:ilvl w:val="0"/>
          <w:numId w:val="0"/>
        </w:numPr>
        <w:kinsoku/>
        <w:wordWrap/>
        <w:overflowPunct/>
        <w:topLinePunct w:val="0"/>
        <w:autoSpaceDN/>
        <w:bidi w:val="0"/>
        <w:adjustRightInd/>
        <w:snapToGrid/>
        <w:spacing w:line="560" w:lineRule="exact"/>
        <w:ind w:leftChars="0" w:firstLine="480" w:firstLineChars="200"/>
        <w:jc w:val="left"/>
        <w:textAlignment w:val="auto"/>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75.60万元,支出决算为85.26万元,完成年初预算的112.78%。其中：</w:t>
      </w:r>
    </w:p>
    <w:p w14:paraId="7E4A3CB8">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color w:val="auto"/>
          <w:sz w:val="24"/>
          <w:szCs w:val="24"/>
          <w:lang w:val="en-US" w:eastAsia="zh-CN"/>
        </w:rPr>
      </w:pPr>
      <w:r>
        <w:rPr>
          <w:rFonts w:hint="eastAsia" w:ascii="宋体" w:hAnsi="宋体"/>
          <w:b/>
          <w:color w:val="auto"/>
          <w:sz w:val="24"/>
          <w:szCs w:val="24"/>
          <w:lang w:val="en-US" w:eastAsia="zh-CN"/>
        </w:rPr>
        <w:t>1.</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年初预算数为72.68万元,支出决算为81.56万元,完成年初预算的112.22%,决算数大于预算数的主要原因是</w:t>
      </w:r>
      <w:r>
        <w:rPr>
          <w:rFonts w:hint="eastAsia" w:ascii="宋体" w:hAnsi="宋体"/>
          <w:color w:val="auto"/>
          <w:sz w:val="24"/>
          <w:szCs w:val="24"/>
          <w:lang w:val="en-US" w:eastAsia="zh-CN"/>
        </w:rPr>
        <w:t>增资等。</w:t>
      </w:r>
    </w:p>
    <w:p w14:paraId="067E1A92">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color w:val="auto"/>
          <w:sz w:val="24"/>
          <w:szCs w:val="24"/>
          <w:lang w:val="en-US" w:eastAsia="zh-CN"/>
        </w:rPr>
      </w:pPr>
      <w:r>
        <w:rPr>
          <w:rFonts w:hint="eastAsia" w:ascii="Times New Roman" w:hAnsi="Times New Roman" w:eastAsia="宋体"/>
          <w:b/>
          <w:color w:val="auto"/>
          <w:sz w:val="24"/>
          <w:szCs w:val="24"/>
          <w:lang w:val="en-US" w:eastAsia="zh-CN"/>
        </w:rPr>
        <w:t>2</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年初预算数为2.92万元,支出决算为3.69万元,完成年初预算的126.44%,决算数大于预算数的主要原因是</w:t>
      </w:r>
      <w:r>
        <w:rPr>
          <w:rFonts w:hint="eastAsia" w:ascii="宋体" w:hAnsi="宋体"/>
          <w:color w:val="auto"/>
          <w:sz w:val="24"/>
          <w:szCs w:val="24"/>
          <w:lang w:val="en-US" w:eastAsia="zh-CN"/>
        </w:rPr>
        <w:t>增资等。</w:t>
      </w:r>
    </w:p>
    <w:p w14:paraId="45BDB31E">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21950553">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2023年度一般公共预算财政拨款基本支出85.26万元。其中：</w:t>
      </w:r>
    </w:p>
    <w:p w14:paraId="7F32F42D">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76.35万元,较上年决算数增加7.46万元,增长10.83%,主要原因是</w:t>
      </w:r>
      <w:r>
        <w:rPr>
          <w:rFonts w:hint="eastAsia" w:ascii="宋体" w:hAnsi="宋体"/>
          <w:color w:val="auto"/>
          <w:sz w:val="24"/>
          <w:szCs w:val="24"/>
          <w:lang w:val="en-US" w:eastAsia="zh-CN"/>
        </w:rPr>
        <w:t>增资等。</w:t>
      </w:r>
      <w:r>
        <w:rPr>
          <w:rFonts w:hint="eastAsia" w:ascii="宋体" w:hAnsi="宋体"/>
          <w:color w:val="auto"/>
          <w:sz w:val="24"/>
          <w:szCs w:val="24"/>
          <w:lang w:val="zh-CN"/>
        </w:rPr>
        <w:t>人员经费用途主要包括基本工资、津贴补贴、奖金、社会保障缴费</w:t>
      </w:r>
      <w:r>
        <w:rPr>
          <w:rFonts w:hint="eastAsia" w:ascii="宋体" w:hAnsi="宋体"/>
          <w:color w:val="auto"/>
          <w:sz w:val="24"/>
          <w:szCs w:val="24"/>
          <w:lang w:val="en-US" w:eastAsia="zh-CN"/>
        </w:rPr>
        <w:t>等</w:t>
      </w:r>
      <w:r>
        <w:rPr>
          <w:rFonts w:hint="eastAsia" w:ascii="宋体" w:hAnsi="宋体"/>
          <w:color w:val="auto"/>
          <w:sz w:val="24"/>
          <w:szCs w:val="24"/>
          <w:lang w:val="zh-CN"/>
        </w:rPr>
        <w:t>。</w:t>
      </w:r>
    </w:p>
    <w:p w14:paraId="014AFF0F">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8.91万元,较上年决算数减少2.82万元,下降24.03%,主要原因是</w:t>
      </w:r>
      <w:r>
        <w:rPr>
          <w:rFonts w:hint="eastAsia" w:ascii="宋体" w:hAnsi="宋体"/>
          <w:color w:val="auto"/>
          <w:sz w:val="24"/>
          <w:szCs w:val="24"/>
          <w:lang w:val="en-US" w:eastAsia="zh-CN"/>
        </w:rPr>
        <w:t>厉行节俭，压减公用经费</w:t>
      </w:r>
      <w:r>
        <w:rPr>
          <w:rFonts w:hint="eastAsia" w:ascii="宋体" w:hAnsi="宋体"/>
          <w:color w:val="auto"/>
          <w:sz w:val="24"/>
          <w:szCs w:val="24"/>
          <w:lang w:val="zh-CN"/>
        </w:rPr>
        <w:t>。公用经费用途主要包括办公费、印刷费、</w:t>
      </w:r>
      <w:r>
        <w:rPr>
          <w:rFonts w:hint="eastAsia" w:ascii="宋体" w:hAnsi="宋体"/>
          <w:color w:val="auto"/>
          <w:sz w:val="24"/>
          <w:szCs w:val="24"/>
          <w:lang w:val="en-US" w:eastAsia="zh-CN"/>
        </w:rPr>
        <w:t>水费、电费、邮电费、差旅费、劳务费等</w:t>
      </w:r>
      <w:r>
        <w:rPr>
          <w:rFonts w:hint="eastAsia" w:ascii="宋体" w:hAnsi="宋体"/>
          <w:color w:val="auto"/>
          <w:sz w:val="24"/>
          <w:szCs w:val="24"/>
          <w:lang w:val="zh-CN"/>
        </w:rPr>
        <w:t>。</w:t>
      </w:r>
    </w:p>
    <w:p w14:paraId="353A9649">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7FCC6813">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14:paraId="23BC780A">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6EB54F50">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14:paraId="19D5E10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77574B37">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我单位属于</w:t>
      </w:r>
      <w:r>
        <w:rPr>
          <w:rFonts w:hint="eastAsia" w:ascii="宋体" w:hAnsi="宋体"/>
          <w:color w:val="auto"/>
          <w:sz w:val="24"/>
          <w:szCs w:val="24"/>
          <w:lang w:val="en-US" w:eastAsia="zh-CN"/>
        </w:rPr>
        <w:t>事业单位</w:t>
      </w:r>
      <w:r>
        <w:rPr>
          <w:rFonts w:hint="eastAsia" w:ascii="宋体" w:hAnsi="宋体"/>
          <w:color w:val="auto"/>
          <w:sz w:val="24"/>
          <w:szCs w:val="24"/>
          <w:lang w:val="zh-CN"/>
        </w:rPr>
        <w:t>,财政未保障我单位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14:paraId="7C8366D2">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经费财政拨款支出总体情况说明</w:t>
      </w:r>
    </w:p>
    <w:p w14:paraId="0B65CEF7">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p>
    <w:p w14:paraId="3C4FD1A4">
      <w:pPr>
        <w:keepNext w:val="0"/>
        <w:keepLines w:val="0"/>
        <w:pageBreakBefore w:val="0"/>
        <w:widowControl/>
        <w:numPr>
          <w:ilvl w:val="0"/>
          <w:numId w:val="3"/>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0FCC5D8A">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olor w:val="auto"/>
          <w:sz w:val="24"/>
          <w:szCs w:val="24"/>
          <w:lang w:val="zh-CN" w:eastAsia="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eastAsia="zh-CN"/>
        </w:rPr>
        <w:t>,</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eastAsia="zh-CN"/>
        </w:rPr>
        <w:t>。</w:t>
      </w:r>
    </w:p>
    <w:p w14:paraId="6A4CCDBE">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eastAsia="zh-CN"/>
        </w:rPr>
        <w:t>。</w:t>
      </w:r>
      <w:r>
        <w:rPr>
          <w:rFonts w:hint="eastAsia" w:ascii="宋体" w:hAnsi="宋体"/>
          <w:b/>
          <w:color w:val="auto"/>
          <w:sz w:val="24"/>
          <w:szCs w:val="24"/>
          <w:lang w:val="zh-CN"/>
        </w:rPr>
        <w:t>其中：</w:t>
      </w:r>
    </w:p>
    <w:p w14:paraId="5E6C9D05">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eastAsia="宋体"/>
          <w:color w:val="auto"/>
          <w:sz w:val="24"/>
          <w:szCs w:val="24"/>
          <w:lang w:val="zh-CN" w:eastAsia="zh-CN"/>
        </w:rPr>
      </w:pPr>
      <w:r>
        <w:rPr>
          <w:rFonts w:hint="eastAsia" w:ascii="宋体" w:hAnsi="宋体"/>
          <w:b/>
          <w:color w:val="auto"/>
          <w:sz w:val="24"/>
          <w:szCs w:val="24"/>
          <w:lang w:val="zh-CN"/>
        </w:rPr>
        <w:t>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eastAsia="zh-CN"/>
        </w:rPr>
        <w:t>。</w:t>
      </w:r>
    </w:p>
    <w:p w14:paraId="4BD6455B">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eastAsia="宋体"/>
          <w:color w:val="auto"/>
          <w:sz w:val="24"/>
          <w:szCs w:val="24"/>
          <w:lang w:val="zh-CN" w:eastAsia="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eastAsia="zh-CN"/>
        </w:rPr>
        <w:t>。</w:t>
      </w:r>
    </w:p>
    <w:p w14:paraId="2CEEB6F4">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color w:val="FF0000"/>
          <w:sz w:val="24"/>
          <w:szCs w:val="24"/>
          <w:lang w:val="zh-CN"/>
        </w:rPr>
      </w:pPr>
      <w:r>
        <w:rPr>
          <w:rFonts w:hint="eastAsia" w:ascii="宋体" w:hAnsi="宋体"/>
          <w:b/>
          <w:color w:val="auto"/>
          <w:sz w:val="24"/>
          <w:szCs w:val="24"/>
          <w:lang w:val="en-US" w:eastAsia="zh-CN"/>
        </w:rPr>
        <w:t>3.</w:t>
      </w: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年预算数为0.00万元,支出决算为0.00万元,</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eastAsia="zh-CN"/>
        </w:rPr>
        <w:t>。</w:t>
      </w:r>
    </w:p>
    <w:p w14:paraId="4C006DA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w:t>
      </w:r>
    </w:p>
    <w:p w14:paraId="3AB22516">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0" w:firstLineChars="200"/>
        <w:jc w:val="left"/>
        <w:textAlignment w:val="auto"/>
        <w:rPr>
          <w:rFonts w:hint="default" w:ascii="宋体" w:hAnsi="宋体"/>
          <w:color w:val="FF0000"/>
          <w:sz w:val="24"/>
          <w:szCs w:val="24"/>
          <w:lang w:val="en-US" w:eastAsia="zh-CN"/>
        </w:rPr>
      </w:pPr>
      <w:r>
        <w:rPr>
          <w:rFonts w:hint="eastAsia" w:ascii="宋体" w:hAnsi="宋体"/>
          <w:color w:val="000000" w:themeColor="text1"/>
          <w:sz w:val="24"/>
          <w:szCs w:val="24"/>
          <w:lang w:val="en-US" w:eastAsia="zh-CN"/>
          <w14:textFill>
            <w14:solidFill>
              <w14:schemeClr w14:val="tx1"/>
            </w14:solidFill>
          </w14:textFill>
        </w:rPr>
        <w:t>其他国内公务接待支出</w:t>
      </w:r>
      <w:r>
        <w:rPr>
          <w:rFonts w:hint="eastAsia" w:ascii="宋体" w:hAnsi="宋体"/>
          <w:color w:val="000000" w:themeColor="text1"/>
          <w:sz w:val="24"/>
          <w:szCs w:val="24"/>
          <w:lang w:val="zh-CN"/>
          <w14:textFill>
            <w14:solidFill>
              <w14:schemeClr w14:val="tx1"/>
            </w14:solidFill>
          </w14:textFill>
        </w:rPr>
        <w:t>0.00</w:t>
      </w:r>
      <w:r>
        <w:rPr>
          <w:rFonts w:hint="eastAsia" w:ascii="宋体" w:hAnsi="宋体"/>
          <w:color w:val="auto"/>
          <w:sz w:val="24"/>
          <w:szCs w:val="24"/>
          <w:lang w:val="zh-CN"/>
        </w:rPr>
        <w:t>万元。</w:t>
      </w:r>
    </w:p>
    <w:p w14:paraId="1BA5D1E8">
      <w:pPr>
        <w:keepNext w:val="0"/>
        <w:keepLines w:val="0"/>
        <w:pageBreakBefore w:val="0"/>
        <w:widowControl/>
        <w:numPr>
          <w:ilvl w:val="0"/>
          <w:numId w:val="3"/>
        </w:numPr>
        <w:kinsoku/>
        <w:wordWrap/>
        <w:overflowPunct/>
        <w:topLinePunct w:val="0"/>
        <w:autoSpaceDE/>
        <w:autoSpaceDN/>
        <w:bidi w:val="0"/>
        <w:adjustRightInd/>
        <w:snapToGrid/>
        <w:spacing w:line="560" w:lineRule="exact"/>
        <w:ind w:left="0" w:leftChars="0" w:firstLine="480" w:firstLineChars="200"/>
        <w:jc w:val="left"/>
        <w:textAlignment w:val="auto"/>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28A5A5FB">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3E5E8AB3">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03B8796E">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2023年度本部门机关运行经费支出8.91万元,机关运行经费主要用于开支办公费、印刷费、</w:t>
      </w:r>
      <w:r>
        <w:rPr>
          <w:rFonts w:hint="eastAsia" w:ascii="宋体" w:hAnsi="宋体"/>
          <w:color w:val="auto"/>
          <w:sz w:val="24"/>
          <w:szCs w:val="24"/>
          <w:lang w:val="en-US" w:eastAsia="zh-CN"/>
        </w:rPr>
        <w:t>水费、电费、邮电费、差旅费、劳务费等</w:t>
      </w:r>
      <w:r>
        <w:rPr>
          <w:rFonts w:hint="eastAsia" w:ascii="宋体" w:hAnsi="宋体"/>
          <w:color w:val="auto"/>
          <w:sz w:val="24"/>
          <w:szCs w:val="24"/>
          <w:lang w:val="zh-CN"/>
        </w:rPr>
        <w:t>。机关运行经费较上年决算数减少2.82万元,下降24.04%,主要原因是落实过紧日子要求压减</w:t>
      </w:r>
      <w:r>
        <w:rPr>
          <w:rFonts w:hint="eastAsia" w:ascii="宋体" w:hAnsi="宋体"/>
          <w:color w:val="auto"/>
          <w:sz w:val="24"/>
          <w:szCs w:val="24"/>
          <w:lang w:val="en-US" w:eastAsia="zh-CN"/>
        </w:rPr>
        <w:t>公用经费</w:t>
      </w:r>
      <w:r>
        <w:rPr>
          <w:rFonts w:hint="eastAsia" w:ascii="宋体" w:hAnsi="宋体"/>
          <w:color w:val="auto"/>
          <w:sz w:val="24"/>
          <w:szCs w:val="24"/>
          <w:lang w:val="zh-CN"/>
        </w:rPr>
        <w:t>支出等。</w:t>
      </w:r>
    </w:p>
    <w:p w14:paraId="0EE2CBD9">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685E57CF">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8.00万元,其中：政府采购货物支出8.00万元、政府采购工程支出0.00万元、政府采购服务支出0.00万元。授予中小企业合同金额8.00万元,占政府采购支出总额的100.00%,其中：授予小微企业合同金额8.00万元,占政府采购支出总额的100.00%。</w:t>
      </w:r>
    </w:p>
    <w:p w14:paraId="420B6AC2">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49BE0F50">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2617B911">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77CBF46C">
      <w:pPr>
        <w:pageBreakBefore w:val="0"/>
        <w:kinsoku/>
        <w:wordWrap/>
        <w:overflowPunct/>
        <w:topLinePunct w:val="0"/>
        <w:autoSpaceDN/>
        <w:bidi w:val="0"/>
        <w:adjustRightInd/>
        <w:snapToGrid/>
        <w:spacing w:line="560" w:lineRule="exact"/>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233CC520">
      <w:pPr>
        <w:pageBreakBefore w:val="0"/>
        <w:kinsoku/>
        <w:wordWrap/>
        <w:overflowPunct/>
        <w:topLinePunct w:val="0"/>
        <w:autoSpaceDN/>
        <w:bidi w:val="0"/>
        <w:adjustRightInd/>
        <w:snapToGrid/>
        <w:spacing w:line="560" w:lineRule="exact"/>
        <w:jc w:val="center"/>
        <w:textAlignment w:val="auto"/>
        <w:rPr>
          <w:rFonts w:hint="eastAsia" w:ascii="宋体" w:hAnsi="宋体" w:eastAsia="宋体"/>
          <w:b/>
          <w:bCs/>
          <w:color w:val="auto"/>
          <w:sz w:val="24"/>
          <w:szCs w:val="24"/>
          <w:lang w:val="en-US"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r>
        <w:rPr>
          <w:rFonts w:hint="eastAsia" w:ascii="宋体" w:hAnsi="宋体"/>
          <w:b/>
          <w:bCs/>
          <w:color w:val="auto"/>
          <w:sz w:val="24"/>
          <w:szCs w:val="24"/>
          <w:lang w:val="en-US" w:eastAsia="zh-CN"/>
        </w:rPr>
        <w:t>(详</w:t>
      </w:r>
      <w:bookmarkStart w:id="0" w:name="_GoBack"/>
      <w:bookmarkEnd w:id="0"/>
      <w:r>
        <w:rPr>
          <w:rFonts w:hint="eastAsia" w:ascii="宋体" w:hAnsi="宋体"/>
          <w:b/>
          <w:bCs/>
          <w:color w:val="auto"/>
          <w:sz w:val="24"/>
          <w:szCs w:val="24"/>
          <w:lang w:val="en-US" w:eastAsia="zh-CN"/>
        </w:rPr>
        <w:t>见附件）</w:t>
      </w:r>
    </w:p>
    <w:p w14:paraId="36D06DEB">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07D7E200">
      <w:pPr>
        <w:keepNext/>
        <w:keepLines/>
        <w:pageBreakBefore w:val="0"/>
        <w:suppressLineNumbers/>
        <w:kinsoku/>
        <w:wordWrap/>
        <w:overflowPunct/>
        <w:topLinePunct w:val="0"/>
        <w:autoSpaceDN/>
        <w:bidi w:val="0"/>
        <w:adjustRightInd/>
        <w:snapToGrid/>
        <w:spacing w:line="560" w:lineRule="exact"/>
        <w:ind w:firstLine="480" w:firstLineChars="200"/>
        <w:jc w:val="both"/>
        <w:textAlignment w:val="auto"/>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24"/>
          <w:szCs w:val="24"/>
          <w:lang w:val="en-US"/>
        </w:rPr>
        <w:t>根据预算绩效管理要求,本部门对</w:t>
      </w:r>
      <w:r>
        <w:rPr>
          <w:rFonts w:hint="eastAsia" w:ascii="宋体" w:hAnsi="宋体" w:eastAsia="宋体" w:cs="宋体"/>
          <w:color w:val="000000"/>
          <w:kern w:val="0"/>
          <w:sz w:val="24"/>
          <w:szCs w:val="24"/>
          <w:lang w:val="en-US" w:eastAsia="zh-CN"/>
        </w:rPr>
        <w:t>2023</w:t>
      </w:r>
      <w:r>
        <w:rPr>
          <w:rFonts w:hint="eastAsia" w:ascii="宋体" w:hAnsi="宋体" w:eastAsia="宋体" w:cs="宋体"/>
          <w:color w:val="000000"/>
          <w:kern w:val="0"/>
          <w:sz w:val="24"/>
          <w:szCs w:val="24"/>
          <w:lang w:val="en-US"/>
        </w:rPr>
        <w:t>年度一般公共预算</w:t>
      </w:r>
      <w:r>
        <w:rPr>
          <w:rFonts w:hint="eastAsia" w:ascii="宋体" w:hAnsi="宋体" w:cs="宋体"/>
          <w:color w:val="000000"/>
          <w:kern w:val="0"/>
          <w:sz w:val="24"/>
          <w:szCs w:val="24"/>
          <w:lang w:val="en-US" w:eastAsia="zh-CN"/>
        </w:rPr>
        <w:t>部门整体</w:t>
      </w:r>
      <w:r>
        <w:rPr>
          <w:rFonts w:hint="eastAsia" w:ascii="宋体" w:hAnsi="宋体" w:eastAsia="宋体" w:cs="宋体"/>
          <w:color w:val="000000"/>
          <w:kern w:val="0"/>
          <w:sz w:val="24"/>
          <w:szCs w:val="24"/>
          <w:lang w:val="en-US"/>
        </w:rPr>
        <w:t>支出全面开展绩效自评,涉及资金</w:t>
      </w:r>
      <w:r>
        <w:rPr>
          <w:rFonts w:hint="eastAsia" w:ascii="宋体" w:hAnsi="宋体" w:cs="宋体"/>
          <w:color w:val="auto"/>
          <w:kern w:val="0"/>
          <w:sz w:val="24"/>
          <w:szCs w:val="24"/>
          <w:lang w:val="en-US" w:eastAsia="zh-CN"/>
        </w:rPr>
        <w:t>85.26</w:t>
      </w:r>
      <w:r>
        <w:rPr>
          <w:rFonts w:hint="eastAsia" w:ascii="宋体" w:hAnsi="宋体" w:eastAsia="宋体" w:cs="宋体"/>
          <w:color w:val="000000"/>
          <w:kern w:val="0"/>
          <w:sz w:val="24"/>
          <w:szCs w:val="24"/>
          <w:lang w:val="en-US" w:eastAsia="zh-CN"/>
        </w:rPr>
        <w:t>万元</w:t>
      </w:r>
      <w:r>
        <w:rPr>
          <w:rFonts w:hint="eastAsia" w:ascii="宋体" w:hAnsi="宋体" w:eastAsia="宋体" w:cs="宋体"/>
          <w:color w:val="000000"/>
          <w:kern w:val="0"/>
          <w:sz w:val="24"/>
          <w:szCs w:val="24"/>
          <w:lang w:val="en-US"/>
        </w:rPr>
        <w:t>,占一般公共预算支出总额</w:t>
      </w:r>
      <w:r>
        <w:rPr>
          <w:rFonts w:hint="eastAsia" w:ascii="宋体" w:hAnsi="宋体" w:eastAsia="宋体" w:cs="宋体"/>
          <w:color w:val="auto"/>
          <w:kern w:val="0"/>
          <w:sz w:val="24"/>
          <w:szCs w:val="24"/>
          <w:lang w:val="en-US"/>
        </w:rPr>
        <w:t>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w:t>
      </w:r>
      <w:r>
        <w:rPr>
          <w:rFonts w:hint="eastAsia" w:ascii="宋体" w:hAnsi="宋体" w:eastAsia="宋体" w:cs="宋体"/>
          <w:color w:val="000000"/>
          <w:kern w:val="0"/>
          <w:sz w:val="24"/>
          <w:szCs w:val="24"/>
          <w:lang w:val="en-US"/>
        </w:rPr>
        <w:t>。组织</w:t>
      </w:r>
      <w:r>
        <w:rPr>
          <w:rFonts w:hint="eastAsia" w:ascii="宋体" w:hAnsi="宋体" w:eastAsia="宋体" w:cs="宋体"/>
          <w:color w:val="auto"/>
          <w:kern w:val="0"/>
          <w:sz w:val="24"/>
          <w:szCs w:val="24"/>
          <w:lang w:val="en-US"/>
        </w:rPr>
        <w:t>对</w:t>
      </w:r>
      <w:r>
        <w:rPr>
          <w:rFonts w:hint="eastAsia" w:ascii="宋体" w:hAnsi="宋体" w:cs="宋体"/>
          <w:color w:val="auto"/>
          <w:kern w:val="0"/>
          <w:sz w:val="24"/>
          <w:szCs w:val="24"/>
          <w:lang w:val="en-US" w:eastAsia="zh-CN"/>
        </w:rPr>
        <w:t>部门整体支出</w:t>
      </w:r>
      <w:r>
        <w:rPr>
          <w:rFonts w:hint="eastAsia" w:ascii="宋体" w:hAnsi="宋体" w:eastAsia="宋体" w:cs="宋体"/>
          <w:color w:val="000000"/>
          <w:kern w:val="0"/>
          <w:sz w:val="24"/>
          <w:szCs w:val="24"/>
          <w:lang w:val="en-US"/>
        </w:rPr>
        <w:t>开展了部门评价,涉及一般公共预算支出</w:t>
      </w:r>
      <w:r>
        <w:rPr>
          <w:rFonts w:hint="eastAsia" w:ascii="宋体" w:hAnsi="宋体" w:cs="宋体"/>
          <w:color w:val="auto"/>
          <w:kern w:val="0"/>
          <w:sz w:val="24"/>
          <w:szCs w:val="24"/>
          <w:lang w:val="en-US" w:eastAsia="zh-CN"/>
        </w:rPr>
        <w:t>85.26</w:t>
      </w:r>
      <w:r>
        <w:rPr>
          <w:rFonts w:hint="eastAsia" w:ascii="宋体" w:hAnsi="宋体" w:eastAsia="宋体" w:cs="宋体"/>
          <w:color w:val="000000"/>
          <w:kern w:val="0"/>
          <w:sz w:val="24"/>
          <w:szCs w:val="24"/>
          <w:lang w:val="en-US" w:eastAsia="zh-CN"/>
        </w:rPr>
        <w:t>万元</w:t>
      </w:r>
      <w:r>
        <w:rPr>
          <w:rFonts w:hint="eastAsia" w:ascii="宋体" w:hAnsi="宋体" w:eastAsia="宋体" w:cs="宋体"/>
          <w:color w:val="000000"/>
          <w:kern w:val="0"/>
          <w:sz w:val="24"/>
          <w:szCs w:val="24"/>
          <w:lang w:val="en-US"/>
        </w:rPr>
        <w:t>,从评价情况来看,</w:t>
      </w:r>
      <w:r>
        <w:rPr>
          <w:rFonts w:hint="eastAsia" w:asciiTheme="minorEastAsia" w:hAnsiTheme="minorEastAsia" w:eastAsiaTheme="minorEastAsia" w:cstheme="minorEastAsia"/>
          <w:color w:val="auto"/>
          <w:sz w:val="24"/>
          <w:szCs w:val="24"/>
          <w:lang w:eastAsia="zh-CN"/>
        </w:rPr>
        <w:t>自评</w:t>
      </w:r>
      <w:r>
        <w:rPr>
          <w:rFonts w:hint="eastAsia" w:asciiTheme="minorEastAsia" w:hAnsiTheme="minorEastAsia" w:eastAsiaTheme="minorEastAsia" w:cstheme="minorEastAsia"/>
          <w:color w:val="auto"/>
          <w:sz w:val="24"/>
          <w:szCs w:val="24"/>
          <w:lang w:val="en-US" w:eastAsia="zh-CN"/>
        </w:rPr>
        <w:t>得分为98分，自评</w:t>
      </w:r>
      <w:r>
        <w:rPr>
          <w:rFonts w:hint="eastAsia" w:asciiTheme="minorEastAsia" w:hAnsiTheme="minorEastAsia" w:eastAsiaTheme="minorEastAsia" w:cstheme="minorEastAsia"/>
          <w:color w:val="auto"/>
          <w:sz w:val="24"/>
          <w:szCs w:val="24"/>
          <w:lang w:eastAsia="zh-CN"/>
        </w:rPr>
        <w:t>结果为“优”。</w:t>
      </w:r>
      <w:r>
        <w:rPr>
          <w:rFonts w:hint="eastAsia" w:asciiTheme="minorEastAsia" w:hAnsiTheme="minorEastAsia" w:eastAsiaTheme="minorEastAsia" w:cstheme="minorEastAsia"/>
          <w:sz w:val="24"/>
          <w:szCs w:val="24"/>
        </w:rPr>
        <w:t>通过绩效自评，进一步掌握了资金使用情况和取得的效果，发现</w:t>
      </w:r>
      <w:r>
        <w:rPr>
          <w:rFonts w:hint="eastAsia" w:asciiTheme="minorEastAsia" w:hAnsiTheme="minorEastAsia" w:eastAsiaTheme="minorEastAsia" w:cstheme="minorEastAsia"/>
          <w:sz w:val="24"/>
          <w:szCs w:val="24"/>
          <w:lang w:val="en-US" w:eastAsia="zh-CN"/>
        </w:rPr>
        <w:t>了</w:t>
      </w:r>
      <w:r>
        <w:rPr>
          <w:rFonts w:hint="eastAsia" w:asciiTheme="minorEastAsia" w:hAnsiTheme="minorEastAsia" w:eastAsiaTheme="minorEastAsia" w:cstheme="minorEastAsia"/>
          <w:sz w:val="24"/>
          <w:szCs w:val="24"/>
        </w:rPr>
        <w:t>工作中存在的问题和不足，为今后加强资金使用管理、完善资金绩效管理、提高资金使用效益工作提供了重要的参考依据。</w:t>
      </w:r>
    </w:p>
    <w:p w14:paraId="4AAA1FBE">
      <w:pPr>
        <w:keepNext w:val="0"/>
        <w:keepLines w:val="0"/>
        <w:pageBreakBefore w:val="0"/>
        <w:widowControl/>
        <w:kinsoku/>
        <w:wordWrap/>
        <w:overflowPunct/>
        <w:topLinePunct w:val="0"/>
        <w:autoSpaceDE/>
        <w:autoSpaceDN/>
        <w:bidi w:val="0"/>
        <w:adjustRightInd/>
        <w:snapToGrid/>
        <w:spacing w:line="560" w:lineRule="exact"/>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164A9C88">
      <w:pPr>
        <w:keepNext/>
        <w:keepLines/>
        <w:pageBreakBefore w:val="0"/>
        <w:suppressLineNumbers/>
        <w:kinsoku/>
        <w:wordWrap/>
        <w:overflowPunct/>
        <w:topLinePunct w:val="0"/>
        <w:autoSpaceDN/>
        <w:bidi w:val="0"/>
        <w:adjustRightInd/>
        <w:snapToGrid/>
        <w:spacing w:line="560" w:lineRule="exact"/>
        <w:ind w:firstLine="480" w:firstLineChars="200"/>
        <w:jc w:val="both"/>
        <w:textAlignment w:val="auto"/>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rPr>
        <w:t>我部门在</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年度部门决算中反映</w:t>
      </w:r>
      <w:r>
        <w:rPr>
          <w:rFonts w:hint="eastAsia" w:ascii="宋体" w:hAnsi="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val="en-US"/>
        </w:rPr>
        <w:t>个</w:t>
      </w:r>
      <w:r>
        <w:rPr>
          <w:rFonts w:hint="eastAsia" w:ascii="宋体" w:hAnsi="宋体" w:cs="宋体"/>
          <w:color w:val="000000"/>
          <w:kern w:val="0"/>
          <w:sz w:val="24"/>
          <w:szCs w:val="24"/>
          <w:highlight w:val="none"/>
          <w:lang w:val="en-US" w:eastAsia="zh-CN"/>
        </w:rPr>
        <w:t>部门整体支出</w:t>
      </w:r>
      <w:r>
        <w:rPr>
          <w:rFonts w:hint="eastAsia" w:ascii="宋体" w:hAnsi="宋体" w:eastAsia="宋体" w:cs="宋体"/>
          <w:color w:val="000000"/>
          <w:kern w:val="0"/>
          <w:sz w:val="24"/>
          <w:szCs w:val="24"/>
          <w:highlight w:val="none"/>
          <w:lang w:val="en-US"/>
        </w:rPr>
        <w:t>绩效自评结果。</w:t>
      </w:r>
    </w:p>
    <w:p w14:paraId="7796D4CE">
      <w:pPr>
        <w:keepNext/>
        <w:keepLines/>
        <w:pageBreakBefore w:val="0"/>
        <w:numPr>
          <w:ilvl w:val="0"/>
          <w:numId w:val="0"/>
        </w:numPr>
        <w:suppressLineNumbers/>
        <w:kinsoku/>
        <w:wordWrap/>
        <w:overflowPunct/>
        <w:topLinePunct w:val="0"/>
        <w:autoSpaceDN/>
        <w:bidi w:val="0"/>
        <w:adjustRightInd/>
        <w:snapToGrid/>
        <w:spacing w:line="560" w:lineRule="exact"/>
        <w:ind w:firstLine="480" w:firstLineChars="200"/>
        <w:jc w:val="both"/>
        <w:textAlignment w:val="auto"/>
        <w:rPr>
          <w:rFonts w:hint="eastAsia" w:asciiTheme="minorEastAsia" w:hAnsiTheme="minorEastAsia" w:eastAsiaTheme="minorEastAsia" w:cstheme="minorEastAsia"/>
          <w:b w:val="0"/>
          <w:bCs w:val="0"/>
          <w:color w:val="auto"/>
          <w:kern w:val="0"/>
          <w:sz w:val="24"/>
          <w:szCs w:val="24"/>
          <w:lang w:val="en-US"/>
        </w:rPr>
      </w:pPr>
      <w:r>
        <w:rPr>
          <w:rFonts w:hint="eastAsia" w:ascii="宋体" w:hAnsi="宋体" w:cs="宋体"/>
          <w:color w:val="000000"/>
          <w:kern w:val="0"/>
          <w:sz w:val="24"/>
          <w:szCs w:val="24"/>
          <w:lang w:val="en-US" w:eastAsia="zh-CN"/>
        </w:rPr>
        <w:t>部门整体</w:t>
      </w:r>
      <w:r>
        <w:rPr>
          <w:rFonts w:hint="eastAsia" w:ascii="宋体" w:hAnsi="宋体" w:eastAsia="宋体" w:cs="宋体"/>
          <w:color w:val="000000"/>
          <w:kern w:val="0"/>
          <w:sz w:val="24"/>
          <w:szCs w:val="24"/>
          <w:lang w:val="en-US"/>
        </w:rPr>
        <w:t>绩效自评情况：根据年初设定的绩效目标,</w:t>
      </w:r>
      <w:r>
        <w:rPr>
          <w:rFonts w:hint="eastAsia" w:ascii="宋体" w:hAnsi="宋体" w:cs="宋体"/>
          <w:color w:val="000000"/>
          <w:kern w:val="0"/>
          <w:sz w:val="24"/>
          <w:szCs w:val="24"/>
          <w:lang w:val="en-US" w:eastAsia="zh-CN"/>
        </w:rPr>
        <w:t>部门整体</w:t>
      </w:r>
      <w:r>
        <w:rPr>
          <w:rFonts w:hint="eastAsia" w:ascii="宋体" w:hAnsi="宋体" w:eastAsia="宋体" w:cs="宋体"/>
          <w:color w:val="000000"/>
          <w:kern w:val="0"/>
          <w:sz w:val="24"/>
          <w:szCs w:val="24"/>
          <w:lang w:val="en-US"/>
        </w:rPr>
        <w:t>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000000"/>
          <w:kern w:val="0"/>
          <w:sz w:val="24"/>
          <w:szCs w:val="24"/>
          <w:lang w:val="en-US"/>
        </w:rPr>
        <w:t>分。</w:t>
      </w:r>
      <w:r>
        <w:rPr>
          <w:rFonts w:hint="eastAsia" w:asciiTheme="minorEastAsia" w:hAnsiTheme="minorEastAsia" w:eastAsiaTheme="minorEastAsia" w:cstheme="minorEastAsia"/>
          <w:b w:val="0"/>
          <w:bCs w:val="0"/>
          <w:color w:val="auto"/>
          <w:kern w:val="0"/>
          <w:sz w:val="24"/>
          <w:szCs w:val="24"/>
          <w:lang w:val="en-US"/>
        </w:rPr>
        <w:t>全年预算数为</w:t>
      </w:r>
      <w:r>
        <w:rPr>
          <w:rFonts w:hint="eastAsia" w:asciiTheme="minorEastAsia" w:hAnsiTheme="minorEastAsia" w:eastAsiaTheme="minorEastAsia" w:cstheme="minorEastAsia"/>
          <w:b w:val="0"/>
          <w:bCs w:val="0"/>
          <w:color w:val="auto"/>
          <w:kern w:val="0"/>
          <w:sz w:val="24"/>
          <w:szCs w:val="24"/>
          <w:lang w:val="en-US" w:eastAsia="zh-CN"/>
        </w:rPr>
        <w:t>85.26万元</w:t>
      </w:r>
      <w:r>
        <w:rPr>
          <w:rFonts w:hint="eastAsia" w:asciiTheme="minorEastAsia" w:hAnsiTheme="minorEastAsia" w:eastAsiaTheme="minorEastAsia" w:cstheme="minorEastAsia"/>
          <w:b w:val="0"/>
          <w:bCs w:val="0"/>
          <w:color w:val="auto"/>
          <w:kern w:val="0"/>
          <w:sz w:val="24"/>
          <w:szCs w:val="24"/>
          <w:lang w:val="en-US"/>
        </w:rPr>
        <w:t>,执行数为</w:t>
      </w:r>
      <w:r>
        <w:rPr>
          <w:rFonts w:hint="eastAsia" w:asciiTheme="minorEastAsia" w:hAnsiTheme="minorEastAsia" w:eastAsiaTheme="minorEastAsia" w:cstheme="minorEastAsia"/>
          <w:b w:val="0"/>
          <w:bCs w:val="0"/>
          <w:color w:val="auto"/>
          <w:kern w:val="0"/>
          <w:sz w:val="24"/>
          <w:szCs w:val="24"/>
          <w:lang w:val="en-US" w:eastAsia="zh-CN"/>
        </w:rPr>
        <w:t>85.26万元</w:t>
      </w:r>
      <w:r>
        <w:rPr>
          <w:rFonts w:hint="eastAsia" w:asciiTheme="minorEastAsia" w:hAnsiTheme="minorEastAsia" w:eastAsiaTheme="minorEastAsia" w:cstheme="minorEastAsia"/>
          <w:b w:val="0"/>
          <w:bCs w:val="0"/>
          <w:color w:val="auto"/>
          <w:kern w:val="0"/>
          <w:sz w:val="24"/>
          <w:szCs w:val="24"/>
          <w:lang w:val="en-US"/>
        </w:rPr>
        <w:t>,完成预算的</w:t>
      </w:r>
      <w:r>
        <w:rPr>
          <w:rFonts w:hint="eastAsia" w:asciiTheme="minorEastAsia" w:hAnsiTheme="minorEastAsia" w:eastAsiaTheme="minorEastAsia" w:cstheme="minorEastAsia"/>
          <w:b w:val="0"/>
          <w:bCs w:val="0"/>
          <w:color w:val="auto"/>
          <w:kern w:val="0"/>
          <w:sz w:val="24"/>
          <w:szCs w:val="24"/>
          <w:lang w:val="en-US" w:eastAsia="zh-CN"/>
        </w:rPr>
        <w:t>100</w:t>
      </w:r>
      <w:r>
        <w:rPr>
          <w:rFonts w:hint="eastAsia" w:asciiTheme="minorEastAsia" w:hAnsiTheme="minorEastAsia" w:eastAsiaTheme="minorEastAsia" w:cstheme="minorEastAsia"/>
          <w:b w:val="0"/>
          <w:bCs w:val="0"/>
          <w:color w:val="auto"/>
          <w:kern w:val="0"/>
          <w:sz w:val="24"/>
          <w:szCs w:val="24"/>
          <w:lang w:val="en-US"/>
        </w:rPr>
        <w:t>%。绩效目标完成情况：</w:t>
      </w:r>
      <w:r>
        <w:rPr>
          <w:rFonts w:hint="eastAsia" w:asciiTheme="minorEastAsia" w:hAnsiTheme="minorEastAsia" w:eastAsiaTheme="minorEastAsia" w:cstheme="minorEastAsia"/>
          <w:b w:val="0"/>
          <w:bCs w:val="0"/>
          <w:snapToGrid w:val="0"/>
          <w:color w:val="auto"/>
          <w:spacing w:val="0"/>
          <w:sz w:val="24"/>
          <w:szCs w:val="24"/>
          <w:highlight w:val="none"/>
          <w:u w:val="none"/>
          <w:shd w:val="clear" w:color="auto" w:fill="auto"/>
        </w:rPr>
        <w:t>一是</w:t>
      </w:r>
      <w:r>
        <w:rPr>
          <w:rFonts w:hint="eastAsia" w:asciiTheme="minorEastAsia" w:hAnsiTheme="minorEastAsia" w:eastAsiaTheme="minorEastAsia" w:cstheme="minorEastAsia"/>
          <w:b w:val="0"/>
          <w:bCs w:val="0"/>
          <w:snapToGrid w:val="0"/>
          <w:color w:val="auto"/>
          <w:spacing w:val="0"/>
          <w:sz w:val="24"/>
          <w:szCs w:val="24"/>
          <w:highlight w:val="none"/>
          <w:u w:val="none"/>
          <w:shd w:val="clear" w:color="auto" w:fill="auto"/>
          <w:lang w:val="en-US" w:eastAsia="zh-CN"/>
        </w:rPr>
        <w:t>做好</w:t>
      </w:r>
      <w:r>
        <w:rPr>
          <w:rStyle w:val="10"/>
          <w:rFonts w:hint="eastAsia" w:asciiTheme="minorEastAsia" w:hAnsiTheme="minorEastAsia" w:eastAsiaTheme="minorEastAsia" w:cstheme="minorEastAsia"/>
          <w:b w:val="0"/>
          <w:bCs w:val="0"/>
          <w:snapToGrid w:val="0"/>
          <w:color w:val="auto"/>
          <w:spacing w:val="0"/>
          <w:sz w:val="24"/>
          <w:szCs w:val="24"/>
          <w:highlight w:val="none"/>
          <w:u w:val="none"/>
          <w:shd w:val="clear" w:color="auto" w:fill="auto"/>
        </w:rPr>
        <w:t>宣传</w:t>
      </w:r>
      <w:r>
        <w:rPr>
          <w:rFonts w:hint="eastAsia" w:asciiTheme="minorEastAsia" w:hAnsiTheme="minorEastAsia" w:eastAsiaTheme="minorEastAsia" w:cstheme="minorEastAsia"/>
          <w:b w:val="0"/>
          <w:bCs w:val="0"/>
          <w:color w:val="auto"/>
          <w:kern w:val="0"/>
          <w:sz w:val="24"/>
          <w:szCs w:val="24"/>
          <w:lang w:val="en-US"/>
        </w:rPr>
        <w:t>；</w:t>
      </w:r>
      <w:r>
        <w:rPr>
          <w:rFonts w:hint="eastAsia" w:asciiTheme="minorEastAsia" w:hAnsiTheme="minorEastAsia" w:eastAsiaTheme="minorEastAsia" w:cstheme="minorEastAsia"/>
          <w:b w:val="0"/>
          <w:bCs w:val="0"/>
          <w:color w:val="auto"/>
          <w:kern w:val="0"/>
          <w:sz w:val="24"/>
          <w:szCs w:val="24"/>
          <w:lang w:val="en-US" w:eastAsia="zh-CN"/>
        </w:rPr>
        <w:t>二是</w:t>
      </w:r>
      <w:r>
        <w:rPr>
          <w:rFonts w:hint="eastAsia" w:asciiTheme="minorEastAsia" w:hAnsiTheme="minorEastAsia" w:eastAsiaTheme="minorEastAsia" w:cstheme="minorEastAsia"/>
          <w:b w:val="0"/>
          <w:bCs w:val="0"/>
          <w:color w:val="auto"/>
          <w:spacing w:val="0"/>
          <w:sz w:val="24"/>
          <w:szCs w:val="24"/>
          <w:highlight w:val="none"/>
          <w:u w:val="none"/>
          <w:shd w:val="clear" w:color="auto" w:fill="auto"/>
          <w:lang w:eastAsia="zh-CN"/>
        </w:rPr>
        <w:t>开展形式多样的志愿服务活动；</w:t>
      </w:r>
      <w:r>
        <w:rPr>
          <w:rFonts w:hint="eastAsia" w:asciiTheme="minorEastAsia" w:hAnsiTheme="minorEastAsia" w:eastAsiaTheme="minorEastAsia" w:cstheme="minorEastAsia"/>
          <w:b w:val="0"/>
          <w:bCs w:val="0"/>
          <w:color w:val="auto"/>
          <w:spacing w:val="0"/>
          <w:sz w:val="24"/>
          <w:szCs w:val="24"/>
          <w:highlight w:val="none"/>
          <w:u w:val="none"/>
          <w:shd w:val="clear" w:color="auto" w:fill="auto"/>
          <w:lang w:val="en-US" w:eastAsia="zh-CN"/>
        </w:rPr>
        <w:t>三是</w:t>
      </w:r>
      <w:r>
        <w:rPr>
          <w:rFonts w:hint="eastAsia" w:asciiTheme="minorEastAsia" w:hAnsiTheme="minorEastAsia" w:eastAsiaTheme="minorEastAsia" w:cstheme="minorEastAsia"/>
          <w:b w:val="0"/>
          <w:bCs w:val="0"/>
          <w:caps w:val="0"/>
          <w:color w:val="auto"/>
          <w:spacing w:val="0"/>
          <w:sz w:val="24"/>
          <w:szCs w:val="24"/>
          <w:highlight w:val="none"/>
          <w:u w:val="none"/>
          <w:shd w:val="clear" w:color="auto" w:fill="auto"/>
          <w:lang w:eastAsia="zh-CN"/>
        </w:rPr>
        <w:t>依法开展募捐活动；</w:t>
      </w:r>
      <w:r>
        <w:rPr>
          <w:rFonts w:hint="eastAsia" w:asciiTheme="minorEastAsia" w:hAnsiTheme="minorEastAsia" w:eastAsiaTheme="minorEastAsia" w:cstheme="minorEastAsia"/>
          <w:b w:val="0"/>
          <w:bCs w:val="0"/>
          <w:caps w:val="0"/>
          <w:color w:val="auto"/>
          <w:spacing w:val="0"/>
          <w:sz w:val="24"/>
          <w:szCs w:val="24"/>
          <w:highlight w:val="none"/>
          <w:u w:val="none"/>
          <w:shd w:val="clear" w:color="auto" w:fill="auto"/>
          <w:lang w:val="en-US" w:eastAsia="zh-CN"/>
        </w:rPr>
        <w:t>四是</w:t>
      </w:r>
      <w:r>
        <w:rPr>
          <w:rFonts w:hint="eastAsia" w:asciiTheme="minorEastAsia" w:hAnsiTheme="minorEastAsia" w:eastAsiaTheme="minorEastAsia" w:cstheme="minorEastAsia"/>
          <w:b w:val="0"/>
          <w:bCs w:val="0"/>
          <w:color w:val="auto"/>
          <w:spacing w:val="0"/>
          <w:sz w:val="24"/>
          <w:szCs w:val="24"/>
          <w:highlight w:val="none"/>
          <w:u w:val="none"/>
          <w:shd w:val="clear" w:color="auto" w:fill="auto"/>
          <w:lang w:val="en-US" w:eastAsia="zh-CN"/>
        </w:rPr>
        <w:t>主动开展博爱行动</w:t>
      </w:r>
      <w:r>
        <w:rPr>
          <w:rFonts w:hint="eastAsia" w:asciiTheme="minorEastAsia" w:hAnsiTheme="minorEastAsia" w:eastAsiaTheme="minorEastAsia" w:cstheme="minorEastAsia"/>
          <w:b w:val="0"/>
          <w:bCs w:val="0"/>
          <w:caps w:val="0"/>
          <w:color w:val="auto"/>
          <w:spacing w:val="0"/>
          <w:sz w:val="24"/>
          <w:szCs w:val="24"/>
          <w:highlight w:val="none"/>
          <w:u w:val="none"/>
          <w:shd w:val="clear" w:color="auto" w:fill="auto"/>
          <w:lang w:eastAsia="zh-CN"/>
        </w:rPr>
        <w:t>；</w:t>
      </w:r>
      <w:r>
        <w:rPr>
          <w:rFonts w:hint="eastAsia" w:asciiTheme="minorEastAsia" w:hAnsiTheme="minorEastAsia" w:eastAsiaTheme="minorEastAsia" w:cstheme="minorEastAsia"/>
          <w:b w:val="0"/>
          <w:bCs w:val="0"/>
          <w:caps w:val="0"/>
          <w:color w:val="auto"/>
          <w:spacing w:val="0"/>
          <w:sz w:val="24"/>
          <w:szCs w:val="24"/>
          <w:highlight w:val="none"/>
          <w:u w:val="none"/>
          <w:shd w:val="clear" w:color="auto" w:fill="auto"/>
          <w:lang w:val="en-US" w:eastAsia="zh-CN"/>
        </w:rPr>
        <w:t>五是</w:t>
      </w:r>
      <w:r>
        <w:rPr>
          <w:rFonts w:hint="eastAsia" w:asciiTheme="minorEastAsia" w:hAnsiTheme="minorEastAsia" w:eastAsiaTheme="minorEastAsia" w:cstheme="minorEastAsia"/>
          <w:b w:val="0"/>
          <w:bCs w:val="0"/>
          <w:i w:val="0"/>
          <w:caps w:val="0"/>
          <w:color w:val="auto"/>
          <w:spacing w:val="0"/>
          <w:sz w:val="24"/>
          <w:szCs w:val="24"/>
          <w:highlight w:val="none"/>
          <w:u w:val="none"/>
          <w:shd w:val="clear" w:color="auto" w:fill="auto"/>
          <w:lang w:eastAsia="zh-CN"/>
        </w:rPr>
        <w:t>积极实施</w:t>
      </w:r>
      <w:r>
        <w:rPr>
          <w:rFonts w:hint="eastAsia" w:asciiTheme="minorEastAsia" w:hAnsiTheme="minorEastAsia" w:eastAsiaTheme="minorEastAsia" w:cstheme="minorEastAsia"/>
          <w:b w:val="0"/>
          <w:bCs w:val="0"/>
          <w:i w:val="0"/>
          <w:caps w:val="0"/>
          <w:color w:val="auto"/>
          <w:spacing w:val="0"/>
          <w:kern w:val="0"/>
          <w:sz w:val="24"/>
          <w:szCs w:val="24"/>
          <w:highlight w:val="none"/>
          <w:u w:val="none"/>
          <w:shd w:val="clear" w:color="auto" w:fill="auto"/>
          <w:lang w:val="en-US" w:eastAsia="zh-CN" w:bidi="ar"/>
        </w:rPr>
        <w:t>人道救助项目；六是</w:t>
      </w:r>
      <w:r>
        <w:rPr>
          <w:rFonts w:hint="eastAsia" w:asciiTheme="minorEastAsia" w:hAnsiTheme="minorEastAsia" w:eastAsiaTheme="minorEastAsia" w:cstheme="minorEastAsia"/>
          <w:b w:val="0"/>
          <w:bCs w:val="0"/>
          <w:i w:val="0"/>
          <w:iCs w:val="0"/>
          <w:caps w:val="0"/>
          <w:color w:val="auto"/>
          <w:spacing w:val="0"/>
          <w:sz w:val="24"/>
          <w:szCs w:val="24"/>
          <w:highlight w:val="none"/>
          <w:u w:val="none"/>
          <w:shd w:val="clear" w:color="auto" w:fill="auto"/>
          <w:lang w:val="en-US" w:eastAsia="zh-CN"/>
        </w:rPr>
        <w:t>健全红十字救灾备灾网络；七是加强</w:t>
      </w:r>
      <w:r>
        <w:rPr>
          <w:rFonts w:hint="eastAsia" w:asciiTheme="minorEastAsia" w:hAnsiTheme="minorEastAsia" w:eastAsiaTheme="minorEastAsia" w:cstheme="minorEastAsia"/>
          <w:b w:val="0"/>
          <w:bCs w:val="0"/>
          <w:color w:val="auto"/>
          <w:spacing w:val="0"/>
          <w:sz w:val="24"/>
          <w:szCs w:val="24"/>
          <w:highlight w:val="none"/>
          <w:u w:val="none"/>
          <w:shd w:val="clear" w:color="auto" w:fill="auto"/>
          <w:lang w:val="en-US" w:eastAsia="zh-CN"/>
        </w:rPr>
        <w:t>备灾救灾物资储备；八是</w:t>
      </w:r>
      <w:r>
        <w:rPr>
          <w:rFonts w:hint="eastAsia" w:asciiTheme="minorEastAsia" w:hAnsiTheme="minorEastAsia" w:eastAsiaTheme="minorEastAsia" w:cstheme="minorEastAsia"/>
          <w:b w:val="0"/>
          <w:bCs w:val="0"/>
          <w:color w:val="auto"/>
          <w:spacing w:val="0"/>
          <w:sz w:val="24"/>
          <w:szCs w:val="24"/>
          <w:highlight w:val="none"/>
          <w:u w:val="none"/>
          <w:shd w:val="clear" w:color="auto" w:fill="auto"/>
          <w:lang w:eastAsia="zh-CN"/>
        </w:rPr>
        <w:t>联动推进</w:t>
      </w:r>
      <w:r>
        <w:rPr>
          <w:rFonts w:hint="eastAsia" w:asciiTheme="minorEastAsia" w:hAnsiTheme="minorEastAsia" w:eastAsiaTheme="minorEastAsia" w:cstheme="minorEastAsia"/>
          <w:b w:val="0"/>
          <w:bCs w:val="0"/>
          <w:color w:val="auto"/>
          <w:spacing w:val="0"/>
          <w:sz w:val="24"/>
          <w:szCs w:val="24"/>
          <w:highlight w:val="none"/>
          <w:u w:val="none"/>
          <w:shd w:val="clear" w:color="auto" w:fill="auto"/>
        </w:rPr>
        <w:t>培训</w:t>
      </w:r>
      <w:r>
        <w:rPr>
          <w:rFonts w:hint="eastAsia" w:asciiTheme="minorEastAsia" w:hAnsiTheme="minorEastAsia" w:eastAsiaTheme="minorEastAsia" w:cstheme="minorEastAsia"/>
          <w:b w:val="0"/>
          <w:bCs w:val="0"/>
          <w:color w:val="auto"/>
          <w:spacing w:val="0"/>
          <w:sz w:val="24"/>
          <w:szCs w:val="24"/>
          <w:highlight w:val="none"/>
          <w:u w:val="none"/>
          <w:shd w:val="clear" w:color="auto" w:fill="auto"/>
          <w:lang w:eastAsia="zh-CN"/>
        </w:rPr>
        <w:t>机制</w:t>
      </w:r>
      <w:r>
        <w:rPr>
          <w:rFonts w:hint="eastAsia" w:asciiTheme="minorEastAsia" w:hAnsiTheme="minorEastAsia" w:eastAsiaTheme="minorEastAsia" w:cstheme="minorEastAsia"/>
          <w:b w:val="0"/>
          <w:bCs w:val="0"/>
          <w:color w:val="auto"/>
          <w:kern w:val="0"/>
          <w:sz w:val="24"/>
          <w:szCs w:val="24"/>
          <w:lang w:val="en-US"/>
        </w:rPr>
        <w:t>。</w:t>
      </w:r>
    </w:p>
    <w:p w14:paraId="6DFB7CD4">
      <w:pPr>
        <w:pStyle w:val="6"/>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Chars="0" w:firstLine="480" w:firstLineChars="200"/>
        <w:jc w:val="both"/>
        <w:textAlignment w:val="auto"/>
        <w:rPr>
          <w:rFonts w:hint="eastAsia" w:asciiTheme="minorEastAsia" w:hAnsiTheme="minorEastAsia" w:eastAsiaTheme="minorEastAsia" w:cstheme="minorEastAsia"/>
          <w:b w:val="0"/>
          <w:bCs w:val="0"/>
          <w:color w:val="auto"/>
          <w:sz w:val="24"/>
          <w:szCs w:val="24"/>
          <w:lang w:eastAsia="zh-CN"/>
        </w:rPr>
      </w:pPr>
      <w:r>
        <w:rPr>
          <w:rFonts w:hint="eastAsia" w:asciiTheme="minorEastAsia" w:hAnsiTheme="minorEastAsia" w:eastAsiaTheme="minorEastAsia" w:cstheme="minorEastAsia"/>
          <w:b w:val="0"/>
          <w:bCs w:val="0"/>
          <w:color w:val="auto"/>
          <w:kern w:val="0"/>
          <w:sz w:val="24"/>
          <w:szCs w:val="24"/>
          <w:lang w:val="en-US"/>
        </w:rPr>
        <w:t>发现的主要问题及原因：</w:t>
      </w:r>
      <w:r>
        <w:rPr>
          <w:rFonts w:hint="eastAsia" w:asciiTheme="minorEastAsia" w:hAnsiTheme="minorEastAsia" w:eastAsiaTheme="minorEastAsia" w:cstheme="minorEastAsia"/>
          <w:b w:val="0"/>
          <w:bCs w:val="0"/>
          <w:color w:val="auto"/>
          <w:sz w:val="24"/>
          <w:szCs w:val="24"/>
        </w:rPr>
        <w:t>1.预算绩效指标体系存在进一步完善的空间，我</w:t>
      </w:r>
      <w:r>
        <w:rPr>
          <w:rFonts w:hint="eastAsia" w:asciiTheme="minorEastAsia" w:hAnsiTheme="minorEastAsia" w:eastAsiaTheme="minorEastAsia" w:cstheme="minorEastAsia"/>
          <w:b w:val="0"/>
          <w:bCs w:val="0"/>
          <w:color w:val="auto"/>
          <w:sz w:val="24"/>
          <w:szCs w:val="24"/>
          <w:lang w:val="en-US" w:eastAsia="zh-CN"/>
        </w:rPr>
        <w:t>会</w:t>
      </w:r>
      <w:r>
        <w:rPr>
          <w:rFonts w:hint="eastAsia" w:asciiTheme="minorEastAsia" w:hAnsiTheme="minorEastAsia" w:eastAsiaTheme="minorEastAsia" w:cstheme="minorEastAsia"/>
          <w:b w:val="0"/>
          <w:bCs w:val="0"/>
          <w:color w:val="auto"/>
          <w:sz w:val="24"/>
          <w:szCs w:val="24"/>
        </w:rPr>
        <w:t>现建立的各项预算绩效目标指标仍有不科学、不细致的地方，影响了预算绩效评价的结果。2.预算绩效管理经验需要进一步积累。因为预算绩效管理工作具有政策性强、专业性强、涉及面广、操作难度大等特点，经验不足，导致工作多走许多弯路，影响工作效果</w:t>
      </w:r>
      <w:r>
        <w:rPr>
          <w:rFonts w:hint="eastAsia" w:asciiTheme="minorEastAsia" w:hAnsiTheme="minorEastAsia" w:eastAsiaTheme="minorEastAsia" w:cstheme="minorEastAsia"/>
          <w:b w:val="0"/>
          <w:bCs w:val="0"/>
          <w:color w:val="auto"/>
          <w:sz w:val="24"/>
          <w:szCs w:val="24"/>
          <w:lang w:eastAsia="zh-CN"/>
        </w:rPr>
        <w:t>。</w:t>
      </w:r>
    </w:p>
    <w:p w14:paraId="12AF3024">
      <w:pPr>
        <w:keepNext/>
        <w:keepLines/>
        <w:pageBreakBefore w:val="0"/>
        <w:widowControl/>
        <w:suppressLineNumbers/>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b/>
          <w:bCs/>
          <w:color w:val="auto"/>
          <w:sz w:val="24"/>
          <w:szCs w:val="24"/>
          <w:lang w:val="zh-CN" w:eastAsia="zh-CN"/>
        </w:rPr>
      </w:pPr>
      <w:r>
        <w:rPr>
          <w:rFonts w:hint="eastAsia" w:asciiTheme="minorEastAsia" w:hAnsiTheme="minorEastAsia" w:eastAsiaTheme="minorEastAsia" w:cstheme="minorEastAsia"/>
          <w:color w:val="auto"/>
          <w:kern w:val="0"/>
          <w:sz w:val="24"/>
          <w:szCs w:val="24"/>
          <w:lang w:val="en-US"/>
        </w:rPr>
        <w:t>下一步改进措施</w:t>
      </w:r>
      <w:r>
        <w:rPr>
          <w:rFonts w:hint="eastAsia" w:asciiTheme="minorEastAsia" w:hAnsiTheme="minorEastAsia" w:eastAsiaTheme="minorEastAsia" w:cstheme="minorEastAsia"/>
          <w:color w:val="auto"/>
          <w:kern w:val="0"/>
          <w:sz w:val="24"/>
          <w:szCs w:val="24"/>
          <w:lang w:val="en-US" w:eastAsia="zh-CN"/>
        </w:rPr>
        <w:t>：</w:t>
      </w:r>
      <w:r>
        <w:rPr>
          <w:rFonts w:hint="eastAsia" w:asciiTheme="minorEastAsia" w:hAnsiTheme="minorEastAsia" w:eastAsiaTheme="minorEastAsia" w:cstheme="minorEastAsia"/>
          <w:color w:val="auto"/>
          <w:sz w:val="24"/>
          <w:szCs w:val="24"/>
        </w:rPr>
        <w:t>1.优化预算。对各项支出进行合理分配。同时，对于超出预算的支出要及时进行调整和纠正。</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2.缩减采购。加强设备的爱护、维修、维护，降低设备更换率，贯彻落实过紧日子的思想。</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3.简化管理流程，提高管理效能。对各项管理表格进行整合，避免重复。有网络管理平台的就利用好平台，凡是平台已经覆盖的管理事项，不在另外增设资料。</w:t>
      </w:r>
      <w:r>
        <w:rPr>
          <w:rFonts w:hint="eastAsia" w:asciiTheme="minorEastAsia" w:hAnsiTheme="minorEastAsia" w:eastAsiaTheme="minorEastAsia" w:cstheme="minorEastAsia"/>
          <w:color w:val="auto"/>
          <w:sz w:val="24"/>
          <w:szCs w:val="24"/>
        </w:rPr>
        <w:br w:type="textWrapping"/>
      </w:r>
      <w:r>
        <w:rPr>
          <w:rFonts w:hint="eastAsia" w:asciiTheme="minorEastAsia" w:hAnsiTheme="minorEastAsia" w:eastAsiaTheme="minorEastAsia" w:cstheme="minorEastAsia"/>
          <w:color w:val="auto"/>
          <w:sz w:val="24"/>
          <w:szCs w:val="24"/>
          <w:lang w:val="en-US" w:eastAsia="zh-CN"/>
        </w:rPr>
        <w:t xml:space="preserve">    </w:t>
      </w:r>
      <w:r>
        <w:rPr>
          <w:rFonts w:hint="eastAsia" w:ascii="宋体" w:hAnsi="宋体"/>
          <w:b/>
          <w:bCs/>
          <w:color w:val="auto"/>
          <w:sz w:val="24"/>
          <w:szCs w:val="24"/>
          <w:lang w:val="zh-CN" w:eastAsia="zh-CN"/>
        </w:rPr>
        <w:t>三、部门绩效评价结果</w:t>
      </w:r>
    </w:p>
    <w:p w14:paraId="15405BA7">
      <w:pPr>
        <w:pageBreakBefore w:val="0"/>
        <w:kinsoku/>
        <w:wordWrap/>
        <w:overflowPunct/>
        <w:topLinePunct w:val="0"/>
        <w:autoSpaceDN/>
        <w:bidi w:val="0"/>
        <w:adjustRightInd/>
        <w:snapToGrid/>
        <w:spacing w:line="560" w:lineRule="exact"/>
        <w:jc w:val="center"/>
        <w:textAlignment w:val="auto"/>
        <w:rPr>
          <w:rFonts w:hint="eastAsia" w:asciiTheme="minorEastAsia" w:hAnsiTheme="minorEastAsia" w:eastAsiaTheme="minorEastAsia" w:cstheme="minorEastAsia"/>
          <w:sz w:val="24"/>
          <w:szCs w:val="24"/>
        </w:rPr>
      </w:pPr>
      <w:r>
        <w:rPr>
          <w:rFonts w:hint="eastAsia" w:ascii="Times New Roman" w:hAnsi="Times New Roman" w:eastAsia="仿宋_GB2312"/>
          <w:color w:val="auto"/>
          <w:sz w:val="32"/>
          <w:szCs w:val="32"/>
          <w:lang w:val="en-US" w:eastAsia="zh-CN"/>
        </w:rPr>
        <w:t xml:space="preserve">   </w:t>
      </w:r>
      <w:r>
        <w:rPr>
          <w:rFonts w:hint="eastAsia" w:asciiTheme="minorEastAsia" w:hAnsiTheme="minorEastAsia" w:eastAsiaTheme="minorEastAsia" w:cstheme="minorEastAsia"/>
          <w:color w:val="auto"/>
          <w:sz w:val="24"/>
          <w:szCs w:val="24"/>
          <w:lang w:eastAsia="zh-CN"/>
        </w:rPr>
        <w:t>根据预算绩效管理要求，本部门于20</w:t>
      </w:r>
      <w:r>
        <w:rPr>
          <w:rFonts w:hint="eastAsia" w:asciiTheme="minorEastAsia" w:hAnsiTheme="minorEastAsia" w:eastAsiaTheme="minorEastAsia" w:cstheme="minorEastAsia"/>
          <w:color w:val="auto"/>
          <w:sz w:val="24"/>
          <w:szCs w:val="24"/>
          <w:lang w:val="en-US" w:eastAsia="zh-CN"/>
        </w:rPr>
        <w:t>23</w:t>
      </w:r>
      <w:r>
        <w:rPr>
          <w:rFonts w:hint="eastAsia" w:asciiTheme="minorEastAsia" w:hAnsiTheme="minorEastAsia" w:eastAsiaTheme="minorEastAsia" w:cstheme="minorEastAsia"/>
          <w:color w:val="auto"/>
          <w:sz w:val="24"/>
          <w:szCs w:val="24"/>
          <w:lang w:eastAsia="zh-CN"/>
        </w:rPr>
        <w:t>年末，对</w:t>
      </w:r>
      <w:r>
        <w:rPr>
          <w:rFonts w:hint="eastAsia" w:asciiTheme="minorEastAsia" w:hAnsiTheme="minorEastAsia" w:eastAsiaTheme="minorEastAsia" w:cstheme="minorEastAsia"/>
          <w:color w:val="auto"/>
          <w:sz w:val="24"/>
          <w:szCs w:val="24"/>
          <w:lang w:val="en-US" w:eastAsia="zh-CN"/>
        </w:rPr>
        <w:t>本单位2023年支出</w:t>
      </w:r>
      <w:r>
        <w:rPr>
          <w:rFonts w:hint="eastAsia" w:asciiTheme="minorEastAsia" w:hAnsiTheme="minorEastAsia" w:eastAsiaTheme="minorEastAsia" w:cstheme="minorEastAsia"/>
          <w:color w:val="auto"/>
          <w:sz w:val="24"/>
          <w:szCs w:val="24"/>
          <w:lang w:eastAsia="zh-CN"/>
        </w:rPr>
        <w:t>开展了绩效自评，涉及资金</w:t>
      </w:r>
      <w:r>
        <w:rPr>
          <w:rFonts w:hint="eastAsia" w:asciiTheme="minorEastAsia" w:hAnsiTheme="minorEastAsia" w:eastAsiaTheme="minorEastAsia" w:cstheme="minorEastAsia"/>
          <w:sz w:val="24"/>
          <w:szCs w:val="24"/>
          <w:lang w:val="en-US" w:eastAsia="zh-CN"/>
        </w:rPr>
        <w:t>85.26万元</w:t>
      </w:r>
      <w:r>
        <w:rPr>
          <w:rFonts w:hint="eastAsia" w:asciiTheme="minorEastAsia" w:hAnsiTheme="minorEastAsia" w:eastAsiaTheme="minorEastAsia" w:cstheme="minorEastAsia"/>
          <w:color w:val="auto"/>
          <w:sz w:val="24"/>
          <w:szCs w:val="24"/>
          <w:lang w:eastAsia="zh-CN"/>
        </w:rPr>
        <w:t>，占</w:t>
      </w:r>
      <w:r>
        <w:rPr>
          <w:rFonts w:hint="eastAsia" w:asciiTheme="minorEastAsia" w:hAnsiTheme="minorEastAsia" w:eastAsiaTheme="minorEastAsia" w:cstheme="minorEastAsia"/>
          <w:color w:val="auto"/>
          <w:sz w:val="24"/>
          <w:szCs w:val="24"/>
          <w:lang w:val="en-US" w:eastAsia="zh-CN"/>
        </w:rPr>
        <w:t>总</w:t>
      </w:r>
      <w:r>
        <w:rPr>
          <w:rFonts w:hint="eastAsia" w:asciiTheme="minorEastAsia" w:hAnsiTheme="minorEastAsia" w:eastAsiaTheme="minorEastAsia" w:cstheme="minorEastAsia"/>
          <w:color w:val="auto"/>
          <w:sz w:val="24"/>
          <w:szCs w:val="24"/>
          <w:lang w:eastAsia="zh-CN"/>
        </w:rPr>
        <w:t>支出的</w:t>
      </w:r>
      <w:r>
        <w:rPr>
          <w:rFonts w:hint="eastAsia" w:asciiTheme="minorEastAsia" w:hAnsiTheme="minorEastAsia" w:eastAsiaTheme="minorEastAsia" w:cstheme="minorEastAsia"/>
          <w:color w:val="auto"/>
          <w:sz w:val="24"/>
          <w:szCs w:val="24"/>
          <w:lang w:val="en-US" w:eastAsia="zh-CN"/>
        </w:rPr>
        <w:t>100</w:t>
      </w:r>
      <w:r>
        <w:rPr>
          <w:rFonts w:hint="eastAsia" w:asciiTheme="minorEastAsia" w:hAnsiTheme="minorEastAsia" w:eastAsiaTheme="minorEastAsia" w:cstheme="minorEastAsia"/>
          <w:color w:val="auto"/>
          <w:sz w:val="24"/>
          <w:szCs w:val="24"/>
          <w:lang w:eastAsia="zh-CN"/>
        </w:rPr>
        <w:t>%。自评</w:t>
      </w:r>
      <w:r>
        <w:rPr>
          <w:rFonts w:hint="eastAsia" w:asciiTheme="minorEastAsia" w:hAnsiTheme="minorEastAsia" w:eastAsiaTheme="minorEastAsia" w:cstheme="minorEastAsia"/>
          <w:color w:val="auto"/>
          <w:sz w:val="24"/>
          <w:szCs w:val="24"/>
          <w:lang w:val="en-US" w:eastAsia="zh-CN"/>
        </w:rPr>
        <w:t>得分为98分，自评</w:t>
      </w:r>
      <w:r>
        <w:rPr>
          <w:rFonts w:hint="eastAsia" w:asciiTheme="minorEastAsia" w:hAnsiTheme="minorEastAsia" w:eastAsiaTheme="minorEastAsia" w:cstheme="minorEastAsia"/>
          <w:color w:val="auto"/>
          <w:sz w:val="24"/>
          <w:szCs w:val="24"/>
          <w:lang w:eastAsia="zh-CN"/>
        </w:rPr>
        <w:t>结果为“优”。</w:t>
      </w:r>
      <w:r>
        <w:rPr>
          <w:rFonts w:hint="eastAsia" w:asciiTheme="minorEastAsia" w:hAnsiTheme="minorEastAsia" w:eastAsiaTheme="minorEastAsia" w:cstheme="minorEastAsia"/>
          <w:sz w:val="24"/>
          <w:szCs w:val="24"/>
        </w:rPr>
        <w:t>通过绩效自评，进一步掌握了资金使用情况和取得的效果，发现</w:t>
      </w:r>
      <w:r>
        <w:rPr>
          <w:rFonts w:hint="eastAsia" w:asciiTheme="minorEastAsia" w:hAnsiTheme="minorEastAsia" w:eastAsiaTheme="minorEastAsia" w:cstheme="minorEastAsia"/>
          <w:sz w:val="24"/>
          <w:szCs w:val="24"/>
          <w:lang w:val="en-US" w:eastAsia="zh-CN"/>
        </w:rPr>
        <w:t>了</w:t>
      </w:r>
      <w:r>
        <w:rPr>
          <w:rFonts w:hint="eastAsia" w:asciiTheme="minorEastAsia" w:hAnsiTheme="minorEastAsia" w:eastAsiaTheme="minorEastAsia" w:cstheme="minorEastAsia"/>
          <w:sz w:val="24"/>
          <w:szCs w:val="24"/>
        </w:rPr>
        <w:t>工作中</w:t>
      </w:r>
    </w:p>
    <w:p w14:paraId="5C58C269">
      <w:pPr>
        <w:pageBreakBefore w:val="0"/>
        <w:kinsoku/>
        <w:wordWrap/>
        <w:overflowPunct/>
        <w:topLinePunct w:val="0"/>
        <w:autoSpaceDN/>
        <w:bidi w:val="0"/>
        <w:adjustRightInd/>
        <w:snapToGrid/>
        <w:spacing w:line="560" w:lineRule="exact"/>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存在的问题和不足，为今后加强资金使用管理、完善资金绩效管理、提高资金使用效益工作提供了重要的参考依据。</w:t>
      </w:r>
    </w:p>
    <w:p w14:paraId="60C88C39">
      <w:pPr>
        <w:pageBreakBefore w:val="0"/>
        <w:kinsoku/>
        <w:wordWrap/>
        <w:overflowPunct/>
        <w:topLinePunct w:val="0"/>
        <w:autoSpaceDN/>
        <w:bidi w:val="0"/>
        <w:adjustRightInd/>
        <w:snapToGrid/>
        <w:spacing w:line="560" w:lineRule="exact"/>
        <w:jc w:val="center"/>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4009D617">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245F601B">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56E1C480">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08B563B9">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4B490C71">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6AD8EA55">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095269A0">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420E60B3">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609F438B">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269454BC">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21494EC3">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5525BF16">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ECC77FF">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5BFD3D4F">
      <w:pPr>
        <w:pageBreakBefore w:val="0"/>
        <w:kinsoku/>
        <w:wordWrap/>
        <w:overflowPunct/>
        <w:topLinePunct w:val="0"/>
        <w:autoSpaceDN/>
        <w:bidi w:val="0"/>
        <w:adjustRightInd/>
        <w:snapToGrid/>
        <w:spacing w:line="560" w:lineRule="exact"/>
        <w:jc w:val="both"/>
        <w:textAlignment w:val="auto"/>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419FC90D">
      <w:pPr>
        <w:pageBreakBefore w:val="0"/>
        <w:kinsoku/>
        <w:wordWrap/>
        <w:overflowPunct/>
        <w:topLinePunct w:val="0"/>
        <w:autoSpaceDN/>
        <w:bidi w:val="0"/>
        <w:adjustRightInd/>
        <w:snapToGrid/>
        <w:spacing w:line="560" w:lineRule="exact"/>
        <w:jc w:val="both"/>
        <w:textAlignment w:val="auto"/>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0B1FC"/>
    <w:multiLevelType w:val="singleLevel"/>
    <w:tmpl w:val="83B0B1FC"/>
    <w:lvl w:ilvl="0" w:tentative="0">
      <w:start w:val="1"/>
      <w:numFmt w:val="chineseCounting"/>
      <w:suff w:val="nothing"/>
      <w:lvlText w:val="%1、"/>
      <w:lvlJc w:val="left"/>
      <w:rPr>
        <w:rFonts w:hint="eastAsia"/>
      </w:rPr>
    </w:lvl>
  </w:abstractNum>
  <w:abstractNum w:abstractNumId="1">
    <w:nsid w:val="95667B34"/>
    <w:multiLevelType w:val="singleLevel"/>
    <w:tmpl w:val="95667B34"/>
    <w:lvl w:ilvl="0" w:tentative="0">
      <w:start w:val="2"/>
      <w:numFmt w:val="chineseCounting"/>
      <w:suff w:val="nothing"/>
      <w:lvlText w:val="(%1)"/>
      <w:lvlJc w:val="left"/>
      <w:pPr>
        <w:ind w:left="0" w:firstLine="0"/>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wZmQ1MzhiYjIwZjU4YjBkMzExMGJlM2M5MWYyYjMifQ=="/>
  </w:docVars>
  <w:rsids>
    <w:rsidRoot w:val="00000000"/>
    <w:rsid w:val="01F62F61"/>
    <w:rsid w:val="06020126"/>
    <w:rsid w:val="06E635A4"/>
    <w:rsid w:val="0BAA1044"/>
    <w:rsid w:val="16D8458B"/>
    <w:rsid w:val="1A534654"/>
    <w:rsid w:val="1B4F22F5"/>
    <w:rsid w:val="1C3A1F70"/>
    <w:rsid w:val="1D5A03F0"/>
    <w:rsid w:val="1F1C595D"/>
    <w:rsid w:val="1FD55B0C"/>
    <w:rsid w:val="20816D4A"/>
    <w:rsid w:val="22A7378F"/>
    <w:rsid w:val="24CF6FCD"/>
    <w:rsid w:val="27CC5A46"/>
    <w:rsid w:val="28744AF4"/>
    <w:rsid w:val="310224D9"/>
    <w:rsid w:val="394E0C8C"/>
    <w:rsid w:val="3D494844"/>
    <w:rsid w:val="473E02B7"/>
    <w:rsid w:val="49663AF5"/>
    <w:rsid w:val="4EB15812"/>
    <w:rsid w:val="4F3F2E1E"/>
    <w:rsid w:val="5253273C"/>
    <w:rsid w:val="57FA1FD8"/>
    <w:rsid w:val="581B1F4E"/>
    <w:rsid w:val="5B4812AC"/>
    <w:rsid w:val="5C1C4BE4"/>
    <w:rsid w:val="5CDA23D8"/>
    <w:rsid w:val="62A019CE"/>
    <w:rsid w:val="666D606B"/>
    <w:rsid w:val="6D5B2467"/>
    <w:rsid w:val="6E764989"/>
    <w:rsid w:val="72A11576"/>
    <w:rsid w:val="7D060573"/>
    <w:rsid w:val="7D450D5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Indent 2"/>
    <w:basedOn w:val="1"/>
    <w:next w:val="4"/>
    <w:qFormat/>
    <w:uiPriority w:val="0"/>
    <w:pPr>
      <w:spacing w:after="120" w:line="480" w:lineRule="auto"/>
      <w:ind w:left="420" w:leftChars="200"/>
    </w:pPr>
  </w:style>
  <w:style w:type="paragraph" w:styleId="4">
    <w:name w:val="Body Text First Indent 2"/>
    <w:basedOn w:val="2"/>
    <w:qFormat/>
    <w:uiPriority w:val="0"/>
    <w:pPr>
      <w:ind w:firstLine="420" w:firstLineChars="200"/>
    </w:pPr>
  </w:style>
  <w:style w:type="paragraph" w:styleId="5">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6">
    <w:name w:val="Title"/>
    <w:basedOn w:val="1"/>
    <w:next w:val="1"/>
    <w:qFormat/>
    <w:uiPriority w:val="0"/>
    <w:pPr>
      <w:spacing w:before="240" w:after="60"/>
      <w:jc w:val="center"/>
    </w:pPr>
    <w:rPr>
      <w:rFonts w:ascii="Arial" w:hAnsi="Arial" w:cs="Arial"/>
      <w:b/>
      <w:bCs/>
      <w:sz w:val="32"/>
      <w:szCs w:val="3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bd2a361c-fb2c-4c7b-9bb9-c046d322140d}">
  <ds:schemaRefs/>
</ds:datastoreItem>
</file>

<file path=customXml/itemProps2.xml><?xml version="1.0" encoding="utf-8"?>
<ds:datastoreItem xmlns:ds="http://schemas.openxmlformats.org/officeDocument/2006/customXml" ds:itemID="{e901053e-f7c7-4cb3-8ec8-6ae1ccc02850}">
  <ds:schemaRefs/>
</ds:datastoreItem>
</file>

<file path=customXml/itemProps3.xml><?xml version="1.0" encoding="utf-8"?>
<ds:datastoreItem xmlns:ds="http://schemas.openxmlformats.org/officeDocument/2006/customXml" ds:itemID="{63cc7c3d-12df-4197-bfb6-35730734d5b3}">
  <ds:schemaRefs/>
</ds:datastoreItem>
</file>

<file path=customXml/itemProps4.xml><?xml version="1.0" encoding="utf-8"?>
<ds:datastoreItem xmlns:ds="http://schemas.openxmlformats.org/officeDocument/2006/customXml" ds:itemID="{4c8cfa99-2da4-46fb-9ee0-209fb8fd7bd7}">
  <ds:schemaRefs/>
</ds:datastoreItem>
</file>

<file path=customXml/itemProps5.xml><?xml version="1.0" encoding="utf-8"?>
<ds:datastoreItem xmlns:ds="http://schemas.openxmlformats.org/officeDocument/2006/customXml" ds:itemID="{9a1b37fe-9a4e-4676-bc97-90bf36c2370f}">
  <ds:schemaRefs/>
</ds:datastoreItem>
</file>

<file path=customXml/itemProps6.xml><?xml version="1.0" encoding="utf-8"?>
<ds:datastoreItem xmlns:ds="http://schemas.openxmlformats.org/officeDocument/2006/customXml" ds:itemID="{e529910f-cabe-4e3f-a619-e2aa9406987e}">
  <ds:schemaRefs/>
</ds:datastoreItem>
</file>

<file path=customXml/itemProps7.xml><?xml version="1.0" encoding="utf-8"?>
<ds:datastoreItem xmlns:ds="http://schemas.openxmlformats.org/officeDocument/2006/customXml" ds:itemID="{21b43de9-c0f7-4b58-b000-efd95b3ce6a0}">
  <ds:schemaRefs/>
</ds:datastoreItem>
</file>

<file path=customXml/itemProps8.xml><?xml version="1.0" encoding="utf-8"?>
<ds:datastoreItem xmlns:ds="http://schemas.openxmlformats.org/officeDocument/2006/customXml" ds:itemID="{6147b98c-c791-4f3d-8077-b6157f5606d3}">
  <ds:schemaRefs/>
</ds:datastoreItem>
</file>

<file path=customXml/itemProps9.xml><?xml version="1.0" encoding="utf-8"?>
<ds:datastoreItem xmlns:ds="http://schemas.openxmlformats.org/officeDocument/2006/customXml" ds:itemID="{918dc776-b0aa-4291-839c-57f134f825c0}">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4987</Words>
  <Characters>5363</Characters>
  <Lines>0</Lines>
  <Paragraphs>0</Paragraphs>
  <TotalTime>39</TotalTime>
  <ScaleCrop>false</ScaleCrop>
  <LinksUpToDate>false</LinksUpToDate>
  <CharactersWithSpaces>5382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上善若水</cp:lastModifiedBy>
  <cp:lastPrinted>2024-09-14T03:27:54Z</cp:lastPrinted>
  <dcterms:modified xsi:type="dcterms:W3CDTF">2024-09-14T03:28:15Z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E06D266F13EA4024808CEEADBAD91186_11</vt:lpwstr>
  </property>
</Properties>
</file>