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方正小标宋简体" w:hAnsi="方正小标宋简体" w:eastAsia="方正小标宋简体" w:cs="方正小标宋简体"/>
          <w:sz w:val="44"/>
          <w:szCs w:val="44"/>
          <w:lang w:val="zh-CN"/>
        </w:rPr>
      </w:pPr>
    </w:p>
    <w:p>
      <w:pPr>
        <w:spacing w:before="100" w:beforeLines="0" w:after="100" w:afterLines="0"/>
        <w:jc w:val="center"/>
        <w:rPr>
          <w:rFonts w:hint="eastAsia"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lang w:val="zh-CN"/>
        </w:rPr>
        <w:t>2023年度</w:t>
      </w:r>
    </w:p>
    <w:p>
      <w:pPr>
        <w:spacing w:before="100" w:beforeLines="0" w:after="100" w:afterLines="0"/>
        <w:jc w:val="center"/>
        <w:rPr>
          <w:rFonts w:hint="eastAsia"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lang w:val="zh-CN"/>
        </w:rPr>
        <w:t>华池县供销合作联合社部门决算</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both"/>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b/>
          <w:sz w:val="36"/>
          <w:szCs w:val="36"/>
          <w:lang w:val="zh-CN"/>
        </w:rPr>
      </w:pPr>
      <w:r>
        <w:rPr>
          <w:rFonts w:hint="eastAsia" w:ascii="宋体" w:hAnsi="宋体"/>
          <w:b/>
          <w:sz w:val="36"/>
          <w:szCs w:val="36"/>
          <w:lang w:val="zh-CN"/>
        </w:rPr>
        <w:t>目</w:t>
      </w:r>
      <w:r>
        <w:rPr>
          <w:rFonts w:hint="eastAsia" w:ascii="宋体" w:hAnsi="宋体"/>
          <w:b/>
          <w:sz w:val="36"/>
          <w:szCs w:val="36"/>
          <w:lang w:val="en-US" w:eastAsia="zh-CN"/>
        </w:rPr>
        <w:t xml:space="preserve">      </w:t>
      </w:r>
      <w:bookmarkStart w:id="0" w:name="_GoBack"/>
      <w:bookmarkEnd w:id="0"/>
      <w:r>
        <w:rPr>
          <w:rFonts w:hint="eastAsia" w:ascii="宋体" w:hAnsi="宋体"/>
          <w:b/>
          <w:sz w:val="36"/>
          <w:szCs w:val="36"/>
          <w:lang w:val="zh-CN"/>
        </w:rPr>
        <w:t>录</w:t>
      </w:r>
    </w:p>
    <w:p>
      <w:pPr>
        <w:spacing w:before="100" w:beforeLines="0" w:after="100" w:afterLines="0"/>
        <w:jc w:val="center"/>
        <w:rPr>
          <w:rFonts w:hint="eastAsia" w:ascii="宋体" w:hAnsi="宋体"/>
          <w:b/>
          <w:sz w:val="36"/>
          <w:szCs w:val="36"/>
          <w:lang w:val="zh-CN"/>
        </w:rPr>
      </w:pP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第一部分部门概况</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一、部门职责</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一、收入支出决算总体情况说明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四、财政拨款收入支出决算总体情况说明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七、政府性基金预算财政拨款收支决算情况说明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九、财政拨款“三公”经费支出决算情况说明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十、机关运行经费支出情况说明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十一、政府采购支出情况说明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十二、国有资产占用情况说明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十三、其他需要说明的情况</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第四部分预算绩效情况说明</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第五部分名词解释</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center"/>
        <w:textAlignment w:val="auto"/>
        <w:rPr>
          <w:rFonts w:hint="eastAsia" w:ascii="仿宋_GB2312" w:hAnsi="仿宋_GB2312" w:eastAsia="仿宋_GB2312" w:cs="仿宋_GB2312"/>
          <w:color w:val="auto"/>
          <w:sz w:val="32"/>
          <w:szCs w:val="32"/>
          <w:lang w:val="zh-CN"/>
        </w:rPr>
      </w:pP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center"/>
        <w:textAlignment w:val="auto"/>
        <w:rPr>
          <w:rFonts w:hint="eastAsia" w:ascii="仿宋_GB2312" w:hAnsi="仿宋_GB2312" w:eastAsia="仿宋_GB2312" w:cs="仿宋_GB2312"/>
          <w:color w:val="auto"/>
          <w:sz w:val="32"/>
          <w:szCs w:val="32"/>
          <w:lang w:val="zh-CN"/>
        </w:rPr>
      </w:pP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center"/>
        <w:textAlignment w:val="auto"/>
        <w:rPr>
          <w:rFonts w:hint="eastAsia" w:ascii="仿宋_GB2312" w:hAnsi="仿宋_GB2312" w:eastAsia="仿宋_GB2312" w:cs="仿宋_GB2312"/>
          <w:color w:val="auto"/>
          <w:sz w:val="32"/>
          <w:szCs w:val="32"/>
          <w:lang w:val="zh-CN"/>
        </w:rPr>
      </w:pP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center"/>
        <w:textAlignment w:val="auto"/>
        <w:rPr>
          <w:rFonts w:hint="eastAsia" w:ascii="仿宋_GB2312" w:hAnsi="仿宋_GB2312" w:eastAsia="仿宋_GB2312" w:cs="仿宋_GB2312"/>
          <w:color w:val="auto"/>
          <w:sz w:val="32"/>
          <w:szCs w:val="32"/>
          <w:lang w:val="zh-CN"/>
        </w:rPr>
      </w:pP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center"/>
        <w:textAlignment w:val="auto"/>
        <w:rPr>
          <w:rFonts w:hint="eastAsia" w:ascii="仿宋_GB2312" w:hAnsi="仿宋_GB2312" w:eastAsia="仿宋_GB2312" w:cs="仿宋_GB2312"/>
          <w:color w:val="auto"/>
          <w:sz w:val="32"/>
          <w:szCs w:val="32"/>
          <w:lang w:val="zh-CN"/>
        </w:rPr>
      </w:pP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center"/>
        <w:textAlignment w:val="auto"/>
        <w:rPr>
          <w:rFonts w:hint="eastAsia" w:ascii="仿宋_GB2312" w:hAnsi="仿宋_GB2312" w:eastAsia="仿宋_GB2312" w:cs="仿宋_GB2312"/>
          <w:color w:val="auto"/>
          <w:sz w:val="32"/>
          <w:szCs w:val="32"/>
          <w:lang w:val="zh-CN"/>
        </w:rPr>
      </w:pP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center"/>
        <w:textAlignment w:val="auto"/>
        <w:rPr>
          <w:rFonts w:hint="eastAsia" w:ascii="仿宋_GB2312" w:hAnsi="仿宋_GB2312" w:eastAsia="仿宋_GB2312" w:cs="仿宋_GB2312"/>
          <w:color w:val="auto"/>
          <w:sz w:val="32"/>
          <w:szCs w:val="32"/>
          <w:lang w:val="zh-CN"/>
        </w:rPr>
      </w:pP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center"/>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第一部分部门概况</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一、部门职责</w:t>
      </w:r>
    </w:p>
    <w:p>
      <w:pPr>
        <w:pageBreakBefore w:val="0"/>
        <w:widowControl/>
        <w:tabs>
          <w:tab w:val="left" w:pos="885"/>
        </w:tabs>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(1)宣传和贯彻执行各级党委、政府有关农村经济工作的路线、方针和政策。</w:t>
      </w:r>
    </w:p>
    <w:p>
      <w:pPr>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(2)根据全县经济和社会发展战略，研究制定全县农村合作经济和供销合作社的发展规划，指导全县农村合作经济和供销合作社的改革和发展工作。</w:t>
      </w:r>
    </w:p>
    <w:p>
      <w:pPr>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加强农村社会化服务体系建设，通过兴办各种专业合作社，兴办龙头企业，健全农产品购销服务体系，完善农业生产资料经营服务体系，参与农业生产资料市场管理，搞好农村信息服务和综合服务等工作，搞活农村商品流通，推进农业产业化经营。</w:t>
      </w:r>
    </w:p>
    <w:p>
      <w:pPr>
        <w:pageBreakBefore w:val="0"/>
        <w:widowControl/>
        <w:tabs>
          <w:tab w:val="left" w:pos="885"/>
        </w:tabs>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(4)实施开放办社，加强供销合作与社会各部门、各行业的联合与合作，吸纳各种经济成分的组织和个人入社，拓展服务领域和服务范围，发挥合作组织的载体、联合优势。</w:t>
      </w:r>
    </w:p>
    <w:p>
      <w:pPr>
        <w:pageBreakBefore w:val="0"/>
        <w:widowControl/>
        <w:tabs>
          <w:tab w:val="left" w:pos="885"/>
        </w:tabs>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(5)按照管理规范化、科学化、制度化的要求，督促检查所属企业和指导下级社做好企业内部管理，提高经济效益的各项工作。</w:t>
      </w:r>
    </w:p>
    <w:p>
      <w:pPr>
        <w:pageBreakBefore w:val="0"/>
        <w:widowControl/>
        <w:tabs>
          <w:tab w:val="left" w:pos="885"/>
        </w:tabs>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(6)管理运营本级社社有资产，对直属企业行使出资人的职能。</w:t>
      </w:r>
    </w:p>
    <w:p>
      <w:pPr>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(7)承办县委、县人民政府和上级主管部门交办的其它事项。</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pPr>
        <w:pageBreakBefore w:val="0"/>
        <w:widowControl/>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单位隶属县政府下属的参照公务员管理事业单位，主要从事对基层社及所属企业履行指导、协调监督、服务和行驶政府授权的事务活动。核定华池县供销合作社联合社事业编制7名，实有职工8名。其中：主任1名，副主任2名，副主任科员1人，一般干部3人，工勤人员1人。</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center"/>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r>
        <w:rPr>
          <w:rFonts w:hint="eastAsia" w:ascii="仿宋_GB2312" w:hAnsi="仿宋_GB2312" w:eastAsia="仿宋_GB2312" w:cs="仿宋_GB2312"/>
          <w:b/>
          <w:color w:val="auto"/>
          <w:sz w:val="32"/>
          <w:szCs w:val="32"/>
          <w:lang w:val="en-US" w:eastAsia="zh-CN"/>
        </w:rPr>
        <w:t>见附件</w:t>
      </w:r>
      <w:r>
        <w:rPr>
          <w:rFonts w:hint="eastAsia" w:ascii="仿宋_GB2312" w:hAnsi="仿宋_GB2312" w:eastAsia="仿宋_GB2312" w:cs="仿宋_GB2312"/>
          <w:b/>
          <w:color w:val="auto"/>
          <w:sz w:val="32"/>
          <w:szCs w:val="32"/>
          <w:lang w:val="zh-CN"/>
        </w:rPr>
        <w:t>）</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center"/>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一、收入支出决算总体情况说明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131.03万元。</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减少45.84万元,下降25.91%,主要原因是</w:t>
      </w:r>
      <w:r>
        <w:rPr>
          <w:rFonts w:hint="eastAsia" w:ascii="仿宋_GB2312" w:hAnsi="仿宋_GB2312" w:eastAsia="仿宋_GB2312" w:cs="仿宋_GB2312"/>
          <w:color w:val="auto"/>
          <w:sz w:val="32"/>
          <w:szCs w:val="32"/>
          <w:lang w:val="en-US" w:eastAsia="zh-CN"/>
        </w:rPr>
        <w:t>年末结转较大</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二、收入决算情况说明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2023年度收入合计131.03万元,其中：财政拨款收入131.03万元,占100.00%。</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三、支出决算情况说明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color w:val="auto"/>
          <w:sz w:val="32"/>
          <w:szCs w:val="32"/>
          <w:lang w:val="zh-CN"/>
        </w:rPr>
        <w:t>2023年度支出合计131.03万元,其中：基本支出131.03万元,占100.00%。</w:t>
      </w:r>
      <w:r>
        <w:rPr>
          <w:rFonts w:hint="eastAsia" w:ascii="仿宋_GB2312" w:hAnsi="仿宋_GB2312" w:eastAsia="仿宋_GB2312" w:cs="仿宋_GB2312"/>
          <w:b/>
          <w:bCs/>
          <w:color w:val="auto"/>
          <w:sz w:val="32"/>
          <w:szCs w:val="32"/>
          <w:lang w:val="zh-CN" w:eastAsia="zh-CN"/>
        </w:rPr>
        <w:t>四、财政拨款收入支出决算总体情况说明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131.03万元。与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年相比,各减少45.83万元,下降25.91%。主要原因是</w:t>
      </w:r>
      <w:r>
        <w:rPr>
          <w:rFonts w:hint="eastAsia" w:ascii="仿宋_GB2312" w:hAnsi="仿宋_GB2312" w:eastAsia="仿宋_GB2312" w:cs="仿宋_GB2312"/>
          <w:color w:val="auto"/>
          <w:sz w:val="32"/>
          <w:szCs w:val="32"/>
          <w:lang w:val="en-US" w:eastAsia="zh-CN"/>
        </w:rPr>
        <w:t>年末结转较大</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五、一般公共预算财政拨款支出决算情况说明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（一）一般公共预算财政拨款支出决算总体情况</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2023年度一般公共预算财政拨款支出131.03万元,较上年决算数减少15.96万元,下降10.86%。主要原因是</w:t>
      </w:r>
      <w:r>
        <w:rPr>
          <w:rFonts w:hint="eastAsia" w:ascii="仿宋_GB2312" w:hAnsi="仿宋_GB2312" w:eastAsia="仿宋_GB2312" w:cs="仿宋_GB2312"/>
          <w:color w:val="auto"/>
          <w:sz w:val="32"/>
          <w:szCs w:val="32"/>
          <w:lang w:val="en-US" w:eastAsia="zh-CN"/>
        </w:rPr>
        <w:t>年末结转较大</w:t>
      </w:r>
      <w:r>
        <w:rPr>
          <w:rFonts w:hint="eastAsia" w:ascii="仿宋_GB2312" w:hAnsi="仿宋_GB2312" w:eastAsia="仿宋_GB2312" w:cs="仿宋_GB2312"/>
          <w:color w:val="auto"/>
          <w:sz w:val="32"/>
          <w:szCs w:val="32"/>
          <w:lang w:val="zh-CN"/>
        </w:rPr>
        <w:t>。</w:t>
      </w:r>
    </w:p>
    <w:p>
      <w:pPr>
        <w:pageBreakBefore w:val="0"/>
        <w:widowControl/>
        <w:numPr>
          <w:ilvl w:val="0"/>
          <w:numId w:val="1"/>
        </w:numPr>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一般公共预算财政拨款支出决算结构情况</w:t>
      </w:r>
    </w:p>
    <w:p>
      <w:pPr>
        <w:pageBreakBefore w:val="0"/>
        <w:widowControl/>
        <w:numPr>
          <w:ilvl w:val="0"/>
          <w:numId w:val="0"/>
        </w:numPr>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2023年度一般公共预算财政拨款支出</w:t>
      </w:r>
      <w:r>
        <w:rPr>
          <w:rFonts w:hint="eastAsia" w:ascii="仿宋_GB2312" w:hAnsi="仿宋_GB2312" w:eastAsia="仿宋_GB2312" w:cs="仿宋_GB2312"/>
          <w:color w:val="auto"/>
          <w:sz w:val="32"/>
          <w:szCs w:val="32"/>
          <w:lang w:val="zh-CN"/>
        </w:rPr>
        <w:t>131.03万元，主要用于以下方面：一般公共服务支出105.05万元,占80.18%；社会保障和就业支出16.50万元,占12.59%；卫生健康支出7.51万元,占5.73%；农林水支出1.97万元,占1.5%。</w:t>
      </w:r>
    </w:p>
    <w:p>
      <w:pPr>
        <w:pageBreakBefore w:val="0"/>
        <w:widowControl/>
        <w:numPr>
          <w:ilvl w:val="0"/>
          <w:numId w:val="1"/>
        </w:numPr>
        <w:kinsoku/>
        <w:wordWrap/>
        <w:overflowPunct/>
        <w:topLinePunct w:val="0"/>
        <w:autoSpaceDE/>
        <w:autoSpaceDN/>
        <w:bidi w:val="0"/>
        <w:adjustRightInd/>
        <w:spacing w:before="100" w:beforeLines="0" w:after="100" w:afterLines="0" w:line="560" w:lineRule="exact"/>
        <w:ind w:left="0" w:leftChars="0"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一般公共预算财政拨款支出决算具体情况。</w:t>
      </w:r>
    </w:p>
    <w:p>
      <w:pPr>
        <w:pageBreakBefore w:val="0"/>
        <w:widowControl/>
        <w:numPr>
          <w:ilvl w:val="0"/>
          <w:numId w:val="0"/>
        </w:numPr>
        <w:kinsoku/>
        <w:wordWrap/>
        <w:overflowPunct/>
        <w:topLinePunct w:val="0"/>
        <w:autoSpaceDE/>
        <w:autoSpaceDN/>
        <w:bidi w:val="0"/>
        <w:adjustRightInd/>
        <w:spacing w:before="100" w:beforeLines="0" w:after="100" w:afterLines="0" w:line="560" w:lineRule="exact"/>
        <w:ind w:leftChars="0"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2023年度一般公共预算财政拨款支出年初预算为</w:t>
      </w:r>
      <w:r>
        <w:rPr>
          <w:rFonts w:hint="eastAsia" w:ascii="仿宋_GB2312" w:hAnsi="仿宋_GB2312" w:eastAsia="仿宋_GB2312" w:cs="仿宋_GB2312"/>
          <w:color w:val="auto"/>
          <w:sz w:val="32"/>
          <w:szCs w:val="32"/>
          <w:lang w:val="zh-CN"/>
        </w:rPr>
        <w:t>128.20万元,支出决算为131.03万元,完成年初预算的102.21%。其中：</w:t>
      </w:r>
    </w:p>
    <w:p>
      <w:pPr>
        <w:pageBreakBefore w:val="0"/>
        <w:widowControl/>
        <w:numPr>
          <w:ilvl w:val="0"/>
          <w:numId w:val="2"/>
        </w:numPr>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一般公共服务支出</w:t>
      </w:r>
      <w:r>
        <w:rPr>
          <w:rFonts w:hint="eastAsia" w:ascii="仿宋_GB2312" w:hAnsi="仿宋_GB2312" w:eastAsia="仿宋_GB2312" w:cs="仿宋_GB2312"/>
          <w:color w:val="auto"/>
          <w:sz w:val="32"/>
          <w:szCs w:val="32"/>
          <w:lang w:val="zh-CN"/>
        </w:rPr>
        <w:t>年初预算数为112.28万元,支出决算为105.05万元,完成年初预算的93.56%,决算数小于预算数的主要原因是</w:t>
      </w:r>
      <w:r>
        <w:rPr>
          <w:rFonts w:hint="eastAsia" w:ascii="仿宋_GB2312" w:hAnsi="仿宋_GB2312" w:eastAsia="仿宋_GB2312" w:cs="仿宋_GB2312"/>
          <w:color w:val="auto"/>
          <w:sz w:val="32"/>
          <w:szCs w:val="32"/>
          <w:lang w:val="en-US" w:eastAsia="zh-CN"/>
        </w:rPr>
        <w:t>年末结转较大</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年初预算数为15.91万元,支出决算为16.50万元,完成年初预算的103.67%,决算数大于预算数的主要原因是.....(由部门根据实际情况补充)。</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年初预算数为0.00万元,支出决算为7.51万元,决算数大于预算数的主要原因是</w:t>
      </w:r>
      <w:r>
        <w:rPr>
          <w:rFonts w:hint="eastAsia" w:ascii="仿宋_GB2312" w:hAnsi="仿宋_GB2312" w:eastAsia="仿宋_GB2312" w:cs="仿宋_GB2312"/>
          <w:color w:val="auto"/>
          <w:sz w:val="32"/>
          <w:szCs w:val="32"/>
          <w:lang w:val="en-US" w:eastAsia="zh-CN"/>
        </w:rPr>
        <w:t>医疗保险支出科目变化</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lang w:val="zh-CN"/>
        </w:rPr>
        <w:t>．农林水支出</w:t>
      </w:r>
      <w:r>
        <w:rPr>
          <w:rFonts w:hint="eastAsia" w:ascii="仿宋_GB2312" w:hAnsi="仿宋_GB2312" w:eastAsia="仿宋_GB2312" w:cs="仿宋_GB2312"/>
          <w:color w:val="auto"/>
          <w:sz w:val="32"/>
          <w:szCs w:val="32"/>
          <w:lang w:val="zh-CN"/>
        </w:rPr>
        <w:t>年初预算数为0.00万元,支出决算为1.97万元,完成年初预算的%,决算数大于预算数的</w:t>
      </w:r>
      <w:r>
        <w:rPr>
          <w:rFonts w:hint="eastAsia" w:ascii="仿宋_GB2312" w:hAnsi="仿宋_GB2312" w:eastAsia="仿宋_GB2312" w:cs="仿宋_GB2312"/>
          <w:color w:val="auto"/>
          <w:sz w:val="32"/>
          <w:szCs w:val="32"/>
          <w:lang w:val="en-US" w:eastAsia="zh-CN"/>
        </w:rPr>
        <w:t>支出科目变化</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六、一般公共预算财政拨款基本支出决算情况说明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2023年度一般公共预算财政拨款基本支出131.03万元。其中：</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121.38万元,较上年决算数减少0.98万元,下降0.8%,主要原因是</w:t>
      </w:r>
      <w:r>
        <w:rPr>
          <w:rFonts w:hint="eastAsia" w:ascii="仿宋_GB2312" w:hAnsi="仿宋_GB2312" w:eastAsia="仿宋_GB2312" w:cs="仿宋_GB2312"/>
          <w:color w:val="auto"/>
          <w:sz w:val="32"/>
          <w:szCs w:val="32"/>
          <w:lang w:val="en-US" w:eastAsia="zh-CN"/>
        </w:rPr>
        <w:t>年末结转较大</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color w:val="auto"/>
          <w:sz w:val="32"/>
          <w:szCs w:val="32"/>
          <w:lang w:val="zh-CN"/>
        </w:rPr>
        <w:t>9.65万元,较上年决算数减少7.92万元,下降45.08%,主要原因是</w:t>
      </w:r>
      <w:r>
        <w:rPr>
          <w:rFonts w:hint="eastAsia" w:ascii="仿宋_GB2312" w:hAnsi="仿宋_GB2312" w:eastAsia="仿宋_GB2312" w:cs="仿宋_GB2312"/>
          <w:color w:val="auto"/>
          <w:sz w:val="32"/>
          <w:szCs w:val="32"/>
          <w:lang w:val="en-US" w:eastAsia="zh-CN"/>
        </w:rPr>
        <w:t>年末结转较大</w:t>
      </w:r>
      <w:r>
        <w:rPr>
          <w:rFonts w:hint="eastAsia" w:ascii="仿宋_GB2312" w:hAnsi="仿宋_GB2312" w:eastAsia="仿宋_GB2312" w:cs="仿宋_GB2312"/>
          <w:color w:val="auto"/>
          <w:sz w:val="32"/>
          <w:szCs w:val="32"/>
          <w:lang w:val="zh-CN"/>
        </w:rPr>
        <w:t>。公用经费用途主要包括办公费、印刷费、</w:t>
      </w:r>
      <w:r>
        <w:rPr>
          <w:rFonts w:hint="eastAsia" w:ascii="仿宋_GB2312" w:hAnsi="仿宋_GB2312" w:eastAsia="仿宋_GB2312" w:cs="仿宋_GB2312"/>
          <w:color w:val="auto"/>
          <w:sz w:val="32"/>
          <w:szCs w:val="32"/>
          <w:lang w:val="en-US" w:eastAsia="zh-CN"/>
        </w:rPr>
        <w:t>差旅费、水电费、劳务费等</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七、政府性基金预算财政拨款收支决算情况说明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本部门2023年度无政府性基金收入,也没有使用政府性基金安排的支出。</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八、国有资本经营预算财政拨款支出情况说明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本部门2023年度没有使用国有资本经营预算安排的支出。</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九</w:t>
      </w:r>
      <w:r>
        <w:rPr>
          <w:rFonts w:hint="eastAsia" w:ascii="仿宋_GB2312" w:hAnsi="仿宋_GB2312" w:eastAsia="仿宋_GB2312" w:cs="仿宋_GB2312"/>
          <w:b/>
          <w:bCs/>
          <w:color w:val="auto"/>
          <w:sz w:val="32"/>
          <w:szCs w:val="32"/>
          <w:lang w:val="zh-CN" w:eastAsia="zh-CN"/>
        </w:rPr>
        <w:t>、财政拨款“三公”经费支出决算情况说明</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(一)“三公”经费财政拨款支出总体情况说明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2023年度“三公”经费支出</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p>
    <w:p>
      <w:pPr>
        <w:pageBreakBefore w:val="0"/>
        <w:widowControl/>
        <w:numPr>
          <w:ilvl w:val="0"/>
          <w:numId w:val="3"/>
        </w:numPr>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“三公”经费财政拨款支出决算具体情况说明</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1.因公出国(境)费用</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2.公务用车购置及运行维护费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p>
    <w:p>
      <w:pPr>
        <w:pageBreakBefore w:val="0"/>
        <w:widowControl/>
        <w:numPr>
          <w:ilvl w:val="0"/>
          <w:numId w:val="0"/>
        </w:numPr>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公务接待费</w:t>
      </w:r>
      <w:r>
        <w:rPr>
          <w:rFonts w:hint="eastAsia" w:ascii="仿宋_GB2312" w:hAnsi="仿宋_GB2312" w:eastAsia="仿宋_GB2312" w:cs="仿宋_GB2312"/>
          <w:color w:val="auto"/>
          <w:sz w:val="32"/>
          <w:szCs w:val="32"/>
          <w:lang w:val="en-US"/>
        </w:rPr>
        <w:t>全</w:t>
      </w:r>
      <w:r>
        <w:rPr>
          <w:rFonts w:hint="eastAsia" w:ascii="仿宋_GB2312" w:hAnsi="仿宋_GB2312" w:eastAsia="仿宋_GB2312" w:cs="仿宋_GB2312"/>
          <w:color w:val="auto"/>
          <w:sz w:val="32"/>
          <w:szCs w:val="32"/>
          <w:lang w:val="zh-CN"/>
        </w:rPr>
        <w:t>年预算数为0.00万元,支出决算为0.00万元,。</w:t>
      </w:r>
    </w:p>
    <w:p>
      <w:pPr>
        <w:pageBreakBefore w:val="0"/>
        <w:widowControl/>
        <w:numPr>
          <w:ilvl w:val="0"/>
          <w:numId w:val="3"/>
        </w:numPr>
        <w:kinsoku/>
        <w:wordWrap/>
        <w:overflowPunct/>
        <w:topLinePunct w:val="0"/>
        <w:autoSpaceDE/>
        <w:autoSpaceDN/>
        <w:bidi w:val="0"/>
        <w:adjustRightInd/>
        <w:spacing w:before="100" w:beforeLines="0" w:after="100" w:afterLines="0" w:line="560" w:lineRule="exact"/>
        <w:ind w:left="0" w:leftChars="0" w:firstLine="643" w:firstLineChars="20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“三公”经费财政拨款支出决算实物量情况</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共计0个团组,0人；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color w:val="auto"/>
          <w:sz w:val="32"/>
          <w:szCs w:val="32"/>
          <w:lang w:val="zh-CN"/>
        </w:rPr>
        <w:t>0辆,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为0辆；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color w:val="auto"/>
          <w:sz w:val="32"/>
          <w:szCs w:val="32"/>
          <w:lang w:val="zh-CN"/>
        </w:rPr>
        <w:t>0批次0人,其中：</w:t>
      </w:r>
      <w:r>
        <w:rPr>
          <w:rFonts w:hint="eastAsia" w:ascii="仿宋_GB2312" w:hAnsi="仿宋_GB2312" w:eastAsia="仿宋_GB2312" w:cs="仿宋_GB2312"/>
          <w:b/>
          <w:color w:val="auto"/>
          <w:sz w:val="32"/>
          <w:szCs w:val="32"/>
          <w:lang w:val="zh-CN"/>
        </w:rPr>
        <w:t>外事接待</w:t>
      </w:r>
      <w:r>
        <w:rPr>
          <w:rFonts w:hint="eastAsia" w:ascii="仿宋_GB2312" w:hAnsi="仿宋_GB2312" w:eastAsia="仿宋_GB2312" w:cs="仿宋_GB2312"/>
          <w:color w:val="auto"/>
          <w:sz w:val="32"/>
          <w:szCs w:val="32"/>
          <w:lang w:val="zh-CN"/>
        </w:rPr>
        <w:t>0批次,0人；</w:t>
      </w:r>
      <w:r>
        <w:rPr>
          <w:rFonts w:hint="eastAsia" w:ascii="仿宋_GB2312" w:hAnsi="仿宋_GB2312" w:eastAsia="仿宋_GB2312" w:cs="仿宋_GB2312"/>
          <w:b/>
          <w:color w:val="auto"/>
          <w:sz w:val="32"/>
          <w:szCs w:val="32"/>
          <w:lang w:val="zh-CN"/>
        </w:rPr>
        <w:t>国(境)外公务接待</w:t>
      </w:r>
      <w:r>
        <w:rPr>
          <w:rFonts w:hint="eastAsia" w:ascii="仿宋_GB2312" w:hAnsi="仿宋_GB2312" w:eastAsia="仿宋_GB2312" w:cs="仿宋_GB2312"/>
          <w:color w:val="auto"/>
          <w:sz w:val="32"/>
          <w:szCs w:val="32"/>
          <w:lang w:val="zh-CN"/>
        </w:rPr>
        <w:t>0批次,0人。</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w:t>
      </w:r>
      <w:r>
        <w:rPr>
          <w:rFonts w:hint="eastAsia" w:ascii="仿宋_GB2312" w:hAnsi="仿宋_GB2312" w:eastAsia="仿宋_GB2312" w:cs="仿宋_GB2312"/>
          <w:b/>
          <w:bCs/>
          <w:color w:val="auto"/>
          <w:sz w:val="32"/>
          <w:szCs w:val="32"/>
          <w:lang w:val="zh-CN" w:eastAsia="zh-CN"/>
        </w:rPr>
        <w:t>、机关运行经费支出情况说明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2023年度本部门机关运行经费支出9.65万元,机关运行经费主要用于开支</w:t>
      </w:r>
      <w:r>
        <w:rPr>
          <w:rFonts w:hint="eastAsia" w:ascii="仿宋_GB2312" w:hAnsi="仿宋_GB2312" w:eastAsia="仿宋_GB2312" w:cs="仿宋_GB2312"/>
          <w:color w:val="auto"/>
          <w:sz w:val="32"/>
          <w:szCs w:val="32"/>
          <w:lang w:val="en-US" w:eastAsia="zh-CN"/>
        </w:rPr>
        <w:t>办公费、印刷费、水电费、差旅费、劳务费、工会费等</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机关运行经费较上年决算数减少7.92万元,下降45.08%,主要原因是</w:t>
      </w:r>
      <w:r>
        <w:rPr>
          <w:rFonts w:hint="eastAsia" w:ascii="仿宋_GB2312" w:hAnsi="仿宋_GB2312" w:eastAsia="仿宋_GB2312" w:cs="仿宋_GB2312"/>
          <w:color w:val="auto"/>
          <w:sz w:val="32"/>
          <w:szCs w:val="32"/>
          <w:lang w:val="en-US" w:eastAsia="zh-CN"/>
        </w:rPr>
        <w:t>年末结转较大</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本年度会议费支出0.00万元,较上年决算数减少0.0万元。</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十一、政府采购支出情况说明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2023年度本部门政府采购支出合计2.00万元,其中：政府采购货物支出2.00万元。授予中小企业合同金额2.00万元,占政府采购支出总额的100.00%,其中：授予小微企业合同金额2.00万元,占政府采购支出总额的100.00%。</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十二</w:t>
      </w:r>
      <w:r>
        <w:rPr>
          <w:rFonts w:hint="eastAsia" w:ascii="仿宋_GB2312" w:hAnsi="仿宋_GB2312" w:eastAsia="仿宋_GB2312" w:cs="仿宋_GB2312"/>
          <w:b/>
          <w:bCs/>
          <w:color w:val="auto"/>
          <w:sz w:val="32"/>
          <w:szCs w:val="32"/>
          <w:lang w:val="zh-CN" w:eastAsia="zh-CN"/>
        </w:rPr>
        <w:t>、国有资产占用情况说明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十三、其他需要说明的情况</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center"/>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一、预算绩效管理工作开展情况</w:t>
      </w:r>
    </w:p>
    <w:p>
      <w:pPr>
        <w:keepNext/>
        <w:keepLines/>
        <w:pageBreakBefore w:val="0"/>
        <w:widowControl/>
        <w:suppressLineNumbers/>
        <w:kinsoku/>
        <w:wordWrap/>
        <w:overflowPunct/>
        <w:topLinePunct w:val="0"/>
        <w:autoSpaceDE/>
        <w:autoSpaceDN/>
        <w:bidi w:val="0"/>
        <w:adjustRightInd/>
        <w:spacing w:beforeLines="0" w:afterLines="0" w:line="56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kern w:val="0"/>
          <w:sz w:val="32"/>
          <w:szCs w:val="32"/>
          <w:lang w:val="en-US"/>
        </w:rPr>
        <w:t>根据预算绩效管理要求,本部门对</w:t>
      </w:r>
      <w:r>
        <w:rPr>
          <w:rFonts w:hint="eastAsia" w:ascii="仿宋_GB2312" w:hAnsi="仿宋_GB2312" w:eastAsia="仿宋_GB2312" w:cs="仿宋_GB2312"/>
          <w:color w:val="auto"/>
          <w:kern w:val="0"/>
          <w:sz w:val="32"/>
          <w:szCs w:val="32"/>
          <w:lang w:val="en-US" w:eastAsia="zh-CN"/>
        </w:rPr>
        <w:t>2023</w:t>
      </w:r>
      <w:r>
        <w:rPr>
          <w:rFonts w:hint="eastAsia" w:ascii="仿宋_GB2312" w:hAnsi="仿宋_GB2312" w:eastAsia="仿宋_GB2312" w:cs="仿宋_GB2312"/>
          <w:color w:val="auto"/>
          <w:kern w:val="0"/>
          <w:sz w:val="32"/>
          <w:szCs w:val="32"/>
          <w:lang w:val="en-US"/>
        </w:rPr>
        <w:t>年度一般公共预算项目支出全面开展绩效自评,其中,一级项目</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lang w:val="en-US"/>
        </w:rPr>
        <w:t>个,共涉及资金</w:t>
      </w:r>
      <w:r>
        <w:rPr>
          <w:rFonts w:hint="eastAsia" w:ascii="仿宋_GB2312" w:hAnsi="仿宋_GB2312" w:eastAsia="仿宋_GB2312" w:cs="仿宋_GB2312"/>
          <w:color w:val="auto"/>
          <w:kern w:val="0"/>
          <w:sz w:val="32"/>
          <w:szCs w:val="32"/>
          <w:lang w:val="en-US" w:eastAsia="zh-CN"/>
        </w:rPr>
        <w:t>10万元</w:t>
      </w:r>
      <w:r>
        <w:rPr>
          <w:rFonts w:hint="eastAsia" w:ascii="仿宋_GB2312" w:hAnsi="仿宋_GB2312" w:eastAsia="仿宋_GB2312" w:cs="仿宋_GB2312"/>
          <w:color w:val="auto"/>
          <w:kern w:val="0"/>
          <w:sz w:val="32"/>
          <w:szCs w:val="32"/>
          <w:lang w:val="en-US"/>
        </w:rPr>
        <w:t>,占一般公共预算项目支出总额的</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lang w:val="en-US"/>
        </w:rPr>
        <w:t>%。对</w:t>
      </w:r>
      <w:r>
        <w:rPr>
          <w:rFonts w:hint="eastAsia" w:ascii="仿宋_GB2312" w:hAnsi="仿宋_GB2312" w:eastAsia="仿宋_GB2312" w:cs="仿宋_GB2312"/>
          <w:color w:val="auto"/>
          <w:kern w:val="0"/>
          <w:sz w:val="32"/>
          <w:szCs w:val="32"/>
          <w:lang w:val="en-US" w:eastAsia="zh-CN"/>
        </w:rPr>
        <w:t>2023</w:t>
      </w:r>
      <w:r>
        <w:rPr>
          <w:rFonts w:hint="eastAsia" w:ascii="仿宋_GB2312" w:hAnsi="仿宋_GB2312" w:eastAsia="仿宋_GB2312" w:cs="仿宋_GB2312"/>
          <w:color w:val="auto"/>
          <w:kern w:val="0"/>
          <w:sz w:val="32"/>
          <w:szCs w:val="32"/>
          <w:lang w:val="en-US"/>
        </w:rPr>
        <w:t>年度</w:t>
      </w:r>
      <w:r>
        <w:rPr>
          <w:rFonts w:hint="eastAsia" w:ascii="仿宋_GB2312" w:hAnsi="仿宋_GB2312" w:eastAsia="仿宋_GB2312" w:cs="仿宋_GB2312"/>
          <w:color w:val="auto"/>
          <w:kern w:val="0"/>
          <w:sz w:val="32"/>
          <w:szCs w:val="32"/>
          <w:lang w:val="en-US" w:eastAsia="zh-CN"/>
        </w:rPr>
        <w:t>供销综合改革经费1</w:t>
      </w:r>
      <w:r>
        <w:rPr>
          <w:rFonts w:hint="eastAsia" w:ascii="仿宋_GB2312" w:hAnsi="仿宋_GB2312" w:eastAsia="仿宋_GB2312" w:cs="仿宋_GB2312"/>
          <w:color w:val="auto"/>
          <w:kern w:val="0"/>
          <w:sz w:val="32"/>
          <w:szCs w:val="32"/>
          <w:lang w:val="en-US"/>
        </w:rPr>
        <w:t>个预算项目开展绩效自评,共涉及资金</w:t>
      </w:r>
      <w:r>
        <w:rPr>
          <w:rFonts w:hint="eastAsia" w:ascii="仿宋_GB2312" w:hAnsi="仿宋_GB2312" w:eastAsia="仿宋_GB2312" w:cs="仿宋_GB2312"/>
          <w:color w:val="auto"/>
          <w:kern w:val="0"/>
          <w:sz w:val="32"/>
          <w:szCs w:val="32"/>
          <w:lang w:val="en-US" w:eastAsia="zh-CN"/>
        </w:rPr>
        <w:t>10万元</w:t>
      </w:r>
      <w:r>
        <w:rPr>
          <w:rFonts w:hint="eastAsia" w:ascii="仿宋_GB2312" w:hAnsi="仿宋_GB2312" w:eastAsia="仿宋_GB2312" w:cs="仿宋_GB2312"/>
          <w:color w:val="auto"/>
          <w:kern w:val="0"/>
          <w:sz w:val="32"/>
          <w:szCs w:val="32"/>
          <w:lang w:val="en-US"/>
        </w:rPr>
        <w:t>,占预算项目支出总额的</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lang w:val="en-US"/>
        </w:rPr>
        <w:t>%。从评价情况来看,</w:t>
      </w:r>
      <w:r>
        <w:rPr>
          <w:rFonts w:hint="eastAsia" w:ascii="仿宋_GB2312" w:hAnsi="仿宋_GB2312" w:eastAsia="仿宋_GB2312" w:cs="仿宋_GB2312"/>
          <w:color w:val="auto"/>
          <w:kern w:val="0"/>
          <w:sz w:val="32"/>
          <w:szCs w:val="32"/>
          <w:lang w:val="en-US" w:eastAsia="zh-CN"/>
        </w:rPr>
        <w:t>达到了绩效管理的目标</w:t>
      </w:r>
      <w:r>
        <w:rPr>
          <w:rFonts w:hint="eastAsia" w:ascii="仿宋_GB2312" w:hAnsi="仿宋_GB2312" w:eastAsia="仿宋_GB2312" w:cs="仿宋_GB2312"/>
          <w:color w:val="auto"/>
          <w:kern w:val="0"/>
          <w:sz w:val="32"/>
          <w:szCs w:val="32"/>
          <w:lang w:val="en-US"/>
        </w:rPr>
        <w:t>。</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二、绩效自评结果</w:t>
      </w:r>
    </w:p>
    <w:p>
      <w:pPr>
        <w:keepNext/>
        <w:keepLines/>
        <w:pageBreakBefore w:val="0"/>
        <w:widowControl/>
        <w:suppressLineNumbers/>
        <w:kinsoku/>
        <w:wordWrap/>
        <w:overflowPunct/>
        <w:topLinePunct w:val="0"/>
        <w:autoSpaceDE/>
        <w:autoSpaceDN/>
        <w:bidi w:val="0"/>
        <w:adjustRightInd/>
        <w:spacing w:beforeLines="0" w:afterLines="0" w:line="56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rPr>
        <w:t>我部门在</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lang w:val="en-US"/>
        </w:rPr>
        <w:t>年度部门决算中反映</w:t>
      </w:r>
      <w:r>
        <w:rPr>
          <w:rFonts w:hint="eastAsia" w:ascii="仿宋_GB2312" w:hAnsi="仿宋_GB2312" w:eastAsia="仿宋_GB2312" w:cs="仿宋_GB2312"/>
          <w:color w:val="auto"/>
          <w:kern w:val="0"/>
          <w:sz w:val="32"/>
          <w:szCs w:val="32"/>
          <w:lang w:val="en-US" w:eastAsia="zh-CN"/>
        </w:rPr>
        <w:t>供销综合改革经费1</w:t>
      </w:r>
      <w:r>
        <w:rPr>
          <w:rFonts w:hint="eastAsia" w:ascii="仿宋_GB2312" w:hAnsi="仿宋_GB2312" w:eastAsia="仿宋_GB2312" w:cs="仿宋_GB2312"/>
          <w:color w:val="auto"/>
          <w:kern w:val="0"/>
          <w:sz w:val="32"/>
          <w:szCs w:val="32"/>
          <w:lang w:val="en-US"/>
        </w:rPr>
        <w:t>个</w:t>
      </w:r>
      <w:r>
        <w:rPr>
          <w:rFonts w:hint="eastAsia" w:ascii="仿宋_GB2312" w:hAnsi="仿宋_GB2312" w:eastAsia="仿宋_GB2312" w:cs="仿宋_GB2312"/>
          <w:color w:val="auto"/>
          <w:kern w:val="0"/>
          <w:sz w:val="32"/>
          <w:szCs w:val="32"/>
          <w:highlight w:val="none"/>
          <w:lang w:val="en-US"/>
        </w:rPr>
        <w:t>项目绩效自评结果。</w:t>
      </w:r>
    </w:p>
    <w:p>
      <w:pPr>
        <w:keepNext/>
        <w:keepLines/>
        <w:pageBreakBefore w:val="0"/>
        <w:widowControl/>
        <w:suppressLineNumbers/>
        <w:kinsoku/>
        <w:wordWrap/>
        <w:overflowPunct/>
        <w:topLinePunct w:val="0"/>
        <w:autoSpaceDE/>
        <w:autoSpaceDN/>
        <w:bidi w:val="0"/>
        <w:adjustRightInd/>
        <w:spacing w:beforeLines="0" w:afterLines="0" w:line="560" w:lineRule="exact"/>
        <w:ind w:firstLine="640" w:firstLineChars="200"/>
        <w:jc w:val="both"/>
        <w:textAlignment w:val="auto"/>
        <w:rPr>
          <w:rFonts w:hint="eastAsia" w:ascii="仿宋_GB2312" w:hAnsi="仿宋_GB2312" w:eastAsia="仿宋_GB2312" w:cs="仿宋_GB2312"/>
          <w:color w:val="auto"/>
          <w:kern w:val="0"/>
          <w:sz w:val="32"/>
          <w:szCs w:val="32"/>
          <w:lang w:val="en-US"/>
        </w:rPr>
      </w:pPr>
      <w:r>
        <w:rPr>
          <w:rFonts w:hint="eastAsia" w:ascii="仿宋_GB2312" w:hAnsi="仿宋_GB2312" w:eastAsia="仿宋_GB2312" w:cs="仿宋_GB2312"/>
          <w:color w:val="auto"/>
          <w:kern w:val="0"/>
          <w:sz w:val="32"/>
          <w:szCs w:val="32"/>
          <w:lang w:val="en-US" w:eastAsia="zh-CN"/>
        </w:rPr>
        <w:t>1.“供销综合改革经费”</w:t>
      </w:r>
      <w:r>
        <w:rPr>
          <w:rFonts w:hint="eastAsia" w:ascii="仿宋_GB2312" w:hAnsi="仿宋_GB2312" w:eastAsia="仿宋_GB2312" w:cs="仿宋_GB2312"/>
          <w:color w:val="auto"/>
          <w:kern w:val="0"/>
          <w:sz w:val="32"/>
          <w:szCs w:val="32"/>
          <w:lang w:val="en-US"/>
        </w:rPr>
        <w:t>项目绩效自评情况：根据年初设定的绩效目标,项目绩效自评得分为</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lang w:val="en-US"/>
        </w:rPr>
        <w:t>分。项目全年预算数为</w:t>
      </w:r>
      <w:r>
        <w:rPr>
          <w:rFonts w:hint="eastAsia" w:ascii="仿宋_GB2312" w:hAnsi="仿宋_GB2312" w:eastAsia="仿宋_GB2312" w:cs="仿宋_GB2312"/>
          <w:color w:val="auto"/>
          <w:kern w:val="0"/>
          <w:sz w:val="32"/>
          <w:szCs w:val="32"/>
          <w:lang w:val="en-US" w:eastAsia="zh-CN"/>
        </w:rPr>
        <w:t>10万元</w:t>
      </w:r>
      <w:r>
        <w:rPr>
          <w:rFonts w:hint="eastAsia" w:ascii="仿宋_GB2312" w:hAnsi="仿宋_GB2312" w:eastAsia="仿宋_GB2312" w:cs="仿宋_GB2312"/>
          <w:color w:val="auto"/>
          <w:kern w:val="0"/>
          <w:sz w:val="32"/>
          <w:szCs w:val="32"/>
          <w:lang w:val="en-US"/>
        </w:rPr>
        <w:t>,执行数为</w:t>
      </w:r>
      <w:r>
        <w:rPr>
          <w:rFonts w:hint="eastAsia" w:ascii="仿宋_GB2312" w:hAnsi="仿宋_GB2312" w:eastAsia="仿宋_GB2312" w:cs="仿宋_GB2312"/>
          <w:color w:val="auto"/>
          <w:kern w:val="0"/>
          <w:sz w:val="32"/>
          <w:szCs w:val="32"/>
          <w:lang w:val="en-US" w:eastAsia="zh-CN"/>
        </w:rPr>
        <w:t>10万元</w:t>
      </w:r>
      <w:r>
        <w:rPr>
          <w:rFonts w:hint="eastAsia" w:ascii="仿宋_GB2312" w:hAnsi="仿宋_GB2312" w:eastAsia="仿宋_GB2312" w:cs="仿宋_GB2312"/>
          <w:color w:val="auto"/>
          <w:kern w:val="0"/>
          <w:sz w:val="32"/>
          <w:szCs w:val="32"/>
          <w:lang w:val="en-US"/>
        </w:rPr>
        <w:t>,完成预算的</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lang w:val="en-US"/>
        </w:rPr>
        <w:t>%。项目绩效目标完成情况：1</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val="en-US"/>
        </w:rPr>
        <w:t>完成省市下达的工作任务</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val="en-US"/>
        </w:rPr>
        <w:t>2</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val="en-US"/>
        </w:rPr>
        <w:t>持续推进综合改革，为基层供销社挂牌、印制宣传资料等</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val="en-US"/>
        </w:rPr>
        <w:t>3</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val="en-US"/>
        </w:rPr>
        <w:t>供销系统服务“三农”能力不断加强。</w:t>
      </w:r>
      <w:r>
        <w:rPr>
          <w:rFonts w:hint="eastAsia" w:ascii="仿宋_GB2312" w:hAnsi="仿宋_GB2312" w:eastAsia="仿宋_GB2312" w:cs="仿宋_GB2312"/>
          <w:color w:val="auto"/>
          <w:kern w:val="0"/>
          <w:sz w:val="32"/>
          <w:szCs w:val="32"/>
          <w:lang w:val="en-US" w:eastAsia="zh-CN"/>
        </w:rPr>
        <w:t>未</w:t>
      </w:r>
      <w:r>
        <w:rPr>
          <w:rFonts w:hint="eastAsia" w:ascii="仿宋_GB2312" w:hAnsi="仿宋_GB2312" w:eastAsia="仿宋_GB2312" w:cs="仿宋_GB2312"/>
          <w:color w:val="auto"/>
          <w:kern w:val="0"/>
          <w:sz w:val="32"/>
          <w:szCs w:val="32"/>
          <w:lang w:val="en-US"/>
        </w:rPr>
        <w:t>发现的问题。</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三、部门绩效评价结果</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达到了预算绩效管理效果</w:t>
      </w:r>
      <w:r>
        <w:rPr>
          <w:rFonts w:hint="eastAsia" w:ascii="仿宋_GB2312" w:hAnsi="仿宋_GB2312" w:eastAsia="仿宋_GB2312" w:cs="仿宋_GB2312"/>
          <w:color w:val="auto"/>
          <w:sz w:val="32"/>
          <w:szCs w:val="32"/>
          <w:lang w:val="zh-CN"/>
        </w:rPr>
        <w:t>。</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center"/>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第五部分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名词解释</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bCs/>
          <w:color w:val="auto"/>
          <w:sz w:val="32"/>
          <w:szCs w:val="32"/>
          <w:lang w:val="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ageBreakBefore w:val="0"/>
        <w:widowControl/>
        <w:kinsoku/>
        <w:wordWrap/>
        <w:overflowPunct/>
        <w:topLinePunct w:val="0"/>
        <w:autoSpaceDE/>
        <w:autoSpaceDN/>
        <w:bidi w:val="0"/>
        <w:adjustRightInd/>
        <w:spacing w:before="100" w:beforeLines="0" w:after="100" w:afterLines="0" w:line="560" w:lineRule="exact"/>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p>
    <w:p>
      <w:pPr>
        <w:pageBreakBefore w:val="0"/>
        <w:widowControl/>
        <w:kinsoku/>
        <w:wordWrap/>
        <w:overflowPunct/>
        <w:topLinePunct w:val="0"/>
        <w:autoSpaceDE/>
        <w:autoSpaceDN/>
        <w:bidi w:val="0"/>
        <w:adjustRightInd/>
        <w:spacing w:before="100" w:beforeLines="0" w:after="100" w:afterLines="0" w:line="560" w:lineRule="exact"/>
        <w:ind w:firstLine="640" w:firstLineChars="200"/>
        <w:jc w:val="both"/>
        <w:textAlignment w:val="auto"/>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497EA152"/>
    <w:multiLevelType w:val="singleLevel"/>
    <w:tmpl w:val="497EA152"/>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NDU0MWMzNzRiYjM5ZWM5YjNlMjQ0YTc5NmYyYWIifQ=="/>
  </w:docVars>
  <w:rsids>
    <w:rsidRoot w:val="00000000"/>
    <w:rsid w:val="6D58400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8ab6d37c-6c96-4c91-90b9-4c4536df731f}">
  <ds:schemaRefs/>
</ds:datastoreItem>
</file>

<file path=customXml/itemProps2.xml><?xml version="1.0" encoding="utf-8"?>
<ds:datastoreItem xmlns:ds="http://schemas.openxmlformats.org/officeDocument/2006/customXml" ds:itemID="{6f1b56ee-96c0-49a6-9a60-79e6d81ab3e5}">
  <ds:schemaRefs/>
</ds:datastoreItem>
</file>

<file path=customXml/itemProps3.xml><?xml version="1.0" encoding="utf-8"?>
<ds:datastoreItem xmlns:ds="http://schemas.openxmlformats.org/officeDocument/2006/customXml" ds:itemID="{1fea2861-d767-46ab-a353-cbcac2495914}">
  <ds:schemaRefs/>
</ds:datastoreItem>
</file>

<file path=customXml/itemProps4.xml><?xml version="1.0" encoding="utf-8"?>
<ds:datastoreItem xmlns:ds="http://schemas.openxmlformats.org/officeDocument/2006/customXml" ds:itemID="{56b8e4da-07d1-405d-9f41-c9283e96985e}">
  <ds:schemaRefs/>
</ds:datastoreItem>
</file>

<file path=customXml/itemProps5.xml><?xml version="1.0" encoding="utf-8"?>
<ds:datastoreItem xmlns:ds="http://schemas.openxmlformats.org/officeDocument/2006/customXml" ds:itemID="{15eb5fc9-54bf-4804-89a6-8cd7f08db17f}">
  <ds:schemaRefs/>
</ds:datastoreItem>
</file>

<file path=customXml/itemProps6.xml><?xml version="1.0" encoding="utf-8"?>
<ds:datastoreItem xmlns:ds="http://schemas.openxmlformats.org/officeDocument/2006/customXml" ds:itemID="{203354b2-d0bd-463e-b187-7e05b0aa3c11}">
  <ds:schemaRefs/>
</ds:datastoreItem>
</file>

<file path=customXml/itemProps7.xml><?xml version="1.0" encoding="utf-8"?>
<ds:datastoreItem xmlns:ds="http://schemas.openxmlformats.org/officeDocument/2006/customXml" ds:itemID="{f9fd6520-b7ae-4daf-bd0c-33d1ad3fd3f3}">
  <ds:schemaRefs/>
</ds:datastoreItem>
</file>

<file path=customXml/itemProps8.xml><?xml version="1.0" encoding="utf-8"?>
<ds:datastoreItem xmlns:ds="http://schemas.openxmlformats.org/officeDocument/2006/customXml" ds:itemID="{444bc24f-8898-4c01-b189-92feb42ef739}">
  <ds:schemaRefs/>
</ds:datastoreItem>
</file>

<file path=customXml/itemProps9.xml><?xml version="1.0" encoding="utf-8"?>
<ds:datastoreItem xmlns:ds="http://schemas.openxmlformats.org/officeDocument/2006/customXml" ds:itemID="{61e3e9ef-597f-4676-b5dc-2f2fc84537e0}">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5</TotalTime>
  <ScaleCrop>false</ScaleCrop>
  <LinksUpToDate>false</LinksUpToDate>
  <CharactersWithSpaces>19293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dcterms:modified xsi:type="dcterms:W3CDTF">2024-09-18T01:40:54Z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E06D266F13EA4024808CEEADBAD91186_11</vt:lpwstr>
  </property>
</Properties>
</file>