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ind w:left="1119" w:leftChars="114" w:hanging="880" w:hangingChars="20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p>
      <w:pPr>
        <w:snapToGrid w:val="0"/>
        <w:ind w:left="1119" w:leftChars="114" w:hanging="880" w:hangingChars="20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华池县供销社</w:t>
      </w:r>
    </w:p>
    <w:p>
      <w:pPr>
        <w:snapToGrid w:val="0"/>
        <w:ind w:left="1119" w:leftChars="114" w:hanging="880" w:hangingChars="20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2023年部门整体支出绩效自评报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告</w:t>
      </w:r>
    </w:p>
    <w:p>
      <w:pPr>
        <w:snapToGrid w:val="0"/>
        <w:ind w:left="1119" w:leftChars="114" w:hanging="880" w:hangingChars="20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80" w:lineRule="exact"/>
        <w:ind w:left="0" w:leftChars="0"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 xml:space="preserve"> 一、部门概况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left="0" w:leftChars="0" w:firstLine="643" w:firstLineChars="200"/>
        <w:textAlignment w:val="auto"/>
        <w:rPr>
          <w:rFonts w:hint="eastAsia" w:ascii="楷体_GB2312" w:hAnsi="楷体_GB2312" w:eastAsia="楷体_GB2312" w:cs="楷体_GB2312"/>
          <w:b/>
          <w:bCs w:val="0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/>
          <w:bCs w:val="0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（一）主要职能、机构设置、人员及资产情况</w:t>
      </w:r>
    </w:p>
    <w:p>
      <w:pPr>
        <w:snapToGrid w:val="0"/>
        <w:spacing w:line="52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1．主要职能。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 w:val="0"/>
        <w:spacing w:line="560" w:lineRule="exact"/>
        <w:ind w:left="643"/>
        <w:textAlignment w:val="auto"/>
        <w:rPr>
          <w:rFonts w:ascii="仿宋_GB2312" w:hAnsi="宋体" w:eastAsia="仿宋_GB2312" w:cs="仿宋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供销社</w:t>
      </w:r>
      <w:r>
        <w:rPr>
          <w:rFonts w:hint="eastAsia" w:ascii="仿宋_GB2312" w:hAnsi="Times New Roman" w:eastAsia="仿宋_GB2312"/>
          <w:sz w:val="32"/>
          <w:szCs w:val="32"/>
        </w:rPr>
        <w:t>是</w:t>
      </w:r>
      <w:r>
        <w:rPr>
          <w:rFonts w:hint="eastAsia" w:ascii="仿宋_GB2312" w:hAnsi="宋体" w:eastAsia="仿宋_GB2312" w:cs="仿宋_GB2312"/>
          <w:sz w:val="32"/>
          <w:szCs w:val="32"/>
        </w:rPr>
        <w:t>服务“三农”</w:t>
      </w:r>
      <w:r>
        <w:rPr>
          <w:rFonts w:hint="eastAsia" w:ascii="仿宋_GB2312" w:hAnsi="Times New Roman" w:eastAsia="仿宋_GB2312"/>
          <w:sz w:val="32"/>
          <w:szCs w:val="32"/>
        </w:rPr>
        <w:t>的职能部门。主要职责是:</w:t>
      </w:r>
      <w:r>
        <w:rPr>
          <w:rFonts w:hint="eastAsia" w:ascii="仿宋_GB2312" w:hAnsi="宋体" w:eastAsia="仿宋_GB2312" w:cs="仿宋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 w:val="0"/>
        <w:spacing w:line="560" w:lineRule="exact"/>
        <w:ind w:firstLine="640" w:firstLineChars="200"/>
        <w:textAlignment w:val="auto"/>
        <w:rPr>
          <w:rFonts w:ascii="仿宋_GB2312" w:hAnsi="宋体" w:eastAsia="仿宋_GB2312" w:cs="仿宋"/>
          <w:sz w:val="32"/>
          <w:szCs w:val="32"/>
        </w:rPr>
      </w:pPr>
      <w:r>
        <w:rPr>
          <w:rFonts w:hint="eastAsia" w:ascii="仿宋_GB2312" w:hAnsi="宋体" w:eastAsia="仿宋_GB2312" w:cs="仿宋"/>
          <w:sz w:val="32"/>
          <w:szCs w:val="32"/>
        </w:rPr>
        <w:t>(1)对基层社及所属企业履行指导、协调、监督、服务行和行使政府授权的职能。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 w:val="0"/>
        <w:spacing w:line="560" w:lineRule="exact"/>
        <w:ind w:firstLine="640" w:firstLineChars="200"/>
        <w:textAlignment w:val="auto"/>
        <w:rPr>
          <w:rFonts w:ascii="仿宋_GB2312" w:hAnsi="宋体" w:eastAsia="仿宋_GB2312" w:cs="仿宋"/>
          <w:sz w:val="32"/>
          <w:szCs w:val="32"/>
        </w:rPr>
      </w:pPr>
      <w:r>
        <w:rPr>
          <w:rFonts w:hint="eastAsia" w:ascii="仿宋_GB2312" w:hAnsi="宋体" w:eastAsia="仿宋_GB2312" w:cs="仿宋"/>
          <w:sz w:val="32"/>
          <w:szCs w:val="32"/>
        </w:rPr>
        <w:t>(2)负责制定和落实全县供销社及专业合作社发展规划。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 w:val="0"/>
        <w:spacing w:line="560" w:lineRule="exact"/>
        <w:ind w:firstLine="640" w:firstLineChars="200"/>
        <w:textAlignment w:val="auto"/>
        <w:rPr>
          <w:rFonts w:ascii="仿宋_GB2312" w:hAnsi="宋体" w:eastAsia="仿宋_GB2312" w:cs="仿宋"/>
          <w:sz w:val="32"/>
          <w:szCs w:val="32"/>
        </w:rPr>
      </w:pPr>
      <w:r>
        <w:rPr>
          <w:rFonts w:hint="eastAsia" w:ascii="仿宋_GB2312" w:hAnsi="宋体" w:eastAsia="仿宋_GB2312" w:cs="仿宋"/>
          <w:sz w:val="32"/>
          <w:szCs w:val="32"/>
        </w:rPr>
        <w:t>(3)落实县政府委托的政策性经营任务。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 w:val="0"/>
        <w:spacing w:line="560" w:lineRule="exact"/>
        <w:ind w:firstLine="640" w:firstLineChars="200"/>
        <w:textAlignment w:val="auto"/>
        <w:rPr>
          <w:rFonts w:ascii="仿宋_GB2312" w:hAnsi="宋体" w:eastAsia="仿宋_GB2312" w:cs="仿宋"/>
          <w:sz w:val="32"/>
          <w:szCs w:val="32"/>
        </w:rPr>
      </w:pPr>
      <w:r>
        <w:rPr>
          <w:rFonts w:hint="eastAsia" w:ascii="仿宋_GB2312" w:hAnsi="宋体" w:eastAsia="仿宋_GB2312" w:cs="仿宋"/>
          <w:sz w:val="32"/>
          <w:szCs w:val="32"/>
        </w:rPr>
        <w:t>(4)指导全行业经营结构的调整、企业改革、改制和扭亏增盈工作。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 w:val="0"/>
        <w:spacing w:line="560" w:lineRule="exact"/>
        <w:ind w:firstLine="640" w:firstLineChars="200"/>
        <w:textAlignment w:val="auto"/>
        <w:rPr>
          <w:rFonts w:ascii="仿宋_GB2312" w:hAnsi="宋体" w:eastAsia="仿宋_GB2312" w:cs="仿宋"/>
          <w:sz w:val="32"/>
          <w:szCs w:val="32"/>
        </w:rPr>
      </w:pPr>
      <w:r>
        <w:rPr>
          <w:rFonts w:hint="eastAsia" w:ascii="仿宋_GB2312" w:hAnsi="宋体" w:eastAsia="仿宋_GB2312" w:cs="仿宋"/>
          <w:sz w:val="32"/>
          <w:szCs w:val="32"/>
        </w:rPr>
        <w:t>(5)参与和推进特色农产品的产业化经营。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 w:val="0"/>
        <w:spacing w:line="560" w:lineRule="exact"/>
        <w:ind w:firstLine="640" w:firstLineChars="200"/>
        <w:textAlignment w:val="auto"/>
        <w:rPr>
          <w:rFonts w:ascii="仿宋_GB2312" w:hAnsi="宋体" w:eastAsia="仿宋_GB2312" w:cs="仿宋"/>
          <w:sz w:val="32"/>
          <w:szCs w:val="32"/>
        </w:rPr>
      </w:pPr>
      <w:r>
        <w:rPr>
          <w:rFonts w:hint="eastAsia" w:ascii="仿宋_GB2312" w:hAnsi="宋体" w:eastAsia="仿宋_GB2312" w:cs="仿宋"/>
          <w:sz w:val="32"/>
          <w:szCs w:val="32"/>
        </w:rPr>
        <w:t>(6)组织、创办以农产品为主的龙头加工企业。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 w:val="0"/>
        <w:spacing w:line="560" w:lineRule="exact"/>
        <w:ind w:firstLine="640" w:firstLineChars="200"/>
        <w:textAlignment w:val="auto"/>
        <w:rPr>
          <w:rFonts w:ascii="仿宋_GB2312" w:hAnsi="宋体" w:eastAsia="仿宋_GB2312" w:cs="仿宋"/>
          <w:sz w:val="32"/>
          <w:szCs w:val="32"/>
        </w:rPr>
      </w:pPr>
      <w:r>
        <w:rPr>
          <w:rFonts w:hint="eastAsia" w:ascii="仿宋_GB2312" w:hAnsi="宋体" w:eastAsia="仿宋_GB2312" w:cs="仿宋"/>
          <w:sz w:val="32"/>
          <w:szCs w:val="32"/>
        </w:rPr>
        <w:t>(7)组织、创办、领办、协办全县农村合作经济组织。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 w:val="0"/>
        <w:spacing w:line="560" w:lineRule="exact"/>
        <w:ind w:firstLine="640" w:firstLineChars="200"/>
        <w:textAlignment w:val="auto"/>
        <w:rPr>
          <w:rFonts w:ascii="仿宋_GB2312" w:hAnsi="宋体" w:eastAsia="仿宋_GB2312" w:cs="仿宋"/>
          <w:sz w:val="32"/>
          <w:szCs w:val="32"/>
        </w:rPr>
      </w:pPr>
      <w:r>
        <w:rPr>
          <w:rFonts w:hint="eastAsia" w:ascii="仿宋_GB2312" w:hAnsi="宋体" w:eastAsia="仿宋_GB2312" w:cs="仿宋"/>
          <w:sz w:val="32"/>
          <w:szCs w:val="32"/>
        </w:rPr>
        <w:t>(8)负责为农村和农民提供农业生产资料的组织供应。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 w:val="0"/>
        <w:spacing w:line="560" w:lineRule="exact"/>
        <w:ind w:firstLine="640" w:firstLineChars="200"/>
        <w:textAlignment w:val="auto"/>
        <w:rPr>
          <w:rFonts w:ascii="仿宋_GB2312" w:hAnsi="宋体" w:eastAsia="仿宋_GB2312" w:cs="仿宋"/>
          <w:sz w:val="32"/>
          <w:szCs w:val="32"/>
        </w:rPr>
      </w:pPr>
      <w:r>
        <w:rPr>
          <w:rFonts w:hint="eastAsia" w:ascii="仿宋_GB2312" w:hAnsi="宋体" w:eastAsia="仿宋_GB2312" w:cs="仿宋"/>
          <w:sz w:val="32"/>
          <w:szCs w:val="32"/>
        </w:rPr>
        <w:t>(9)建设和规范农村流通市场，拓宽农副产品购销渠道，增加农民收入。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宋体" w:eastAsia="仿宋_GB2312" w:cs="仿宋"/>
          <w:sz w:val="32"/>
          <w:szCs w:val="32"/>
        </w:rPr>
        <w:t>(10)管理省政府确定的大宗特色农产品和农业生产资料，废旧物资回收利用，烟花爆竹的十三种产品、商品的经营业务。</w:t>
      </w:r>
    </w:p>
    <w:p>
      <w:pPr>
        <w:snapToGrid w:val="0"/>
        <w:spacing w:line="52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2．机构情况。</w:t>
      </w:r>
    </w:p>
    <w:p>
      <w:pPr>
        <w:snapToGrid w:val="0"/>
        <w:spacing w:line="52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（1）独立编制机构。</w:t>
      </w:r>
    </w:p>
    <w:p>
      <w:pPr>
        <w:snapToGrid w:val="0"/>
        <w:spacing w:line="520" w:lineRule="exact"/>
        <w:ind w:firstLine="640" w:firstLineChars="200"/>
        <w:rPr>
          <w:rFonts w:hint="eastAsia" w:ascii="仿宋_GB2312" w:hAnsi="仿宋" w:eastAsia="仿宋_GB2312"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3年，独立编制机构共</w:t>
      </w:r>
      <w:r>
        <w:rPr>
          <w:rFonts w:hint="eastAsia" w:ascii="仿宋_GB2312" w:eastAsia="仿宋_GB2312"/>
          <w:sz w:val="32"/>
          <w:szCs w:val="32"/>
          <w:highlight w:val="none"/>
          <w:u w:val="single"/>
        </w:rPr>
        <w:t>1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个，较上年持平。</w:t>
      </w:r>
    </w:p>
    <w:p>
      <w:pPr>
        <w:snapToGrid w:val="0"/>
        <w:spacing w:line="520" w:lineRule="exact"/>
        <w:ind w:firstLine="640" w:firstLineChars="200"/>
        <w:rPr>
          <w:rFonts w:hint="eastAsia" w:ascii="仿宋_GB2312" w:hAnsi="仿宋" w:eastAsia="仿宋_GB2312"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sz w:val="32"/>
          <w:szCs w:val="32"/>
          <w:highlight w:val="none"/>
        </w:rPr>
        <w:t>（2）独立核算机构。</w:t>
      </w:r>
    </w:p>
    <w:p>
      <w:pPr>
        <w:snapToGrid w:val="0"/>
        <w:spacing w:line="520" w:lineRule="exact"/>
        <w:ind w:firstLine="640" w:firstLineChars="200"/>
        <w:rPr>
          <w:rFonts w:hint="eastAsia" w:ascii="仿宋_GB2312" w:hAnsi="仿宋" w:eastAsia="仿宋_GB2312"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sz w:val="32"/>
          <w:szCs w:val="32"/>
          <w:highlight w:val="none"/>
        </w:rPr>
        <w:t>2023年，独立核算机构共1个，较上年持平。</w:t>
      </w:r>
    </w:p>
    <w:p>
      <w:pPr>
        <w:snapToGrid w:val="0"/>
        <w:spacing w:line="520" w:lineRule="exact"/>
        <w:ind w:firstLine="640" w:firstLineChars="200"/>
        <w:rPr>
          <w:rFonts w:hint="eastAsia" w:ascii="仿宋_GB2312" w:hAnsi="仿宋" w:eastAsia="仿宋_GB2312"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sz w:val="32"/>
          <w:szCs w:val="32"/>
          <w:highlight w:val="none"/>
        </w:rPr>
        <w:t>3．人员情况。</w:t>
      </w:r>
    </w:p>
    <w:p>
      <w:pPr>
        <w:snapToGrid w:val="0"/>
        <w:spacing w:line="520" w:lineRule="exact"/>
        <w:ind w:firstLine="640" w:firstLineChars="200"/>
        <w:rPr>
          <w:rFonts w:hint="eastAsia" w:ascii="仿宋_GB2312" w:hAnsi="仿宋" w:eastAsia="仿宋_GB2312"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sz w:val="32"/>
          <w:szCs w:val="32"/>
          <w:highlight w:val="none"/>
        </w:rPr>
        <w:t>2023年年末实有人数10人（不含遗属优抚人员），与2022年度相比，增加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人，在职人员人数主要变动原因：</w:t>
      </w: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调入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1人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。</w:t>
      </w:r>
    </w:p>
    <w:p>
      <w:pPr>
        <w:snapToGrid w:val="0"/>
        <w:spacing w:line="520" w:lineRule="exact"/>
        <w:ind w:firstLine="640" w:firstLineChars="200"/>
        <w:rPr>
          <w:rFonts w:hint="eastAsia" w:ascii="仿宋_GB2312" w:hAnsi="仿宋" w:eastAsia="仿宋_GB2312"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sz w:val="32"/>
          <w:szCs w:val="32"/>
          <w:highlight w:val="none"/>
        </w:rPr>
        <w:t>2023年退休人员人数为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人。与2022年度相比，持平。</w:t>
      </w:r>
    </w:p>
    <w:p>
      <w:pPr>
        <w:snapToGrid w:val="0"/>
        <w:spacing w:line="520" w:lineRule="exact"/>
        <w:ind w:firstLine="640" w:firstLineChars="200"/>
        <w:rPr>
          <w:rFonts w:hint="eastAsia" w:ascii="仿宋_GB2312" w:hAnsi="仿宋" w:eastAsia="仿宋_GB2312"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sz w:val="32"/>
          <w:szCs w:val="32"/>
          <w:highlight w:val="none"/>
        </w:rPr>
        <w:t>（二）当年取得的主要事业成效。</w:t>
      </w: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58" w:lineRule="exact"/>
        <w:ind w:firstLine="596" w:firstLineChars="200"/>
        <w:jc w:val="both"/>
        <w:textAlignment w:val="auto"/>
        <w:rPr>
          <w:rFonts w:hint="eastAsia" w:ascii="仿宋_GB2312" w:hAnsi="仿宋_GB2312" w:eastAsia="仿宋_GB2312" w:cs="仿宋_GB2312"/>
          <w:kern w:val="1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bCs/>
          <w:spacing w:val="-11"/>
          <w:sz w:val="32"/>
          <w:szCs w:val="32"/>
          <w:highlight w:val="none"/>
        </w:rPr>
        <w:t>今年，县供销社全面贯彻“三新一高”理念，大力推动高质量发展，积极争取党委政府支持，创新工作机制，发扬扁担精神，多措并举，超额完成了全年目标任务。截止11月底，全县完成商品销售总额 66174万元，比去年同期增长14.8%；农产品消售额49987万元，比去年同期增长</w:t>
      </w:r>
      <w:r>
        <w:rPr>
          <w:rFonts w:hint="eastAsia" w:ascii="仿宋_GB2312" w:hAnsi="宋体" w:eastAsia="仿宋_GB2312" w:cs="宋体"/>
          <w:bCs/>
          <w:spacing w:val="-11"/>
          <w:sz w:val="32"/>
          <w:szCs w:val="32"/>
          <w:highlight w:val="none"/>
          <w:lang w:val="en-US" w:eastAsia="zh-CN"/>
        </w:rPr>
        <w:t>18</w:t>
      </w:r>
      <w:r>
        <w:rPr>
          <w:rFonts w:hint="eastAsia" w:ascii="仿宋_GB2312" w:hAnsi="宋体" w:eastAsia="仿宋_GB2312" w:cs="宋体"/>
          <w:bCs/>
          <w:spacing w:val="-11"/>
          <w:sz w:val="32"/>
          <w:szCs w:val="32"/>
          <w:highlight w:val="none"/>
        </w:rPr>
        <w:t>%；绿色农资销售量1731吨，比去年同期增长</w:t>
      </w:r>
      <w:r>
        <w:rPr>
          <w:rFonts w:hint="eastAsia" w:ascii="仿宋_GB2312" w:hAnsi="宋体" w:eastAsia="仿宋_GB2312" w:cs="宋体"/>
          <w:bCs/>
          <w:spacing w:val="-11"/>
          <w:sz w:val="32"/>
          <w:szCs w:val="32"/>
          <w:highlight w:val="none"/>
          <w:lang w:val="en-US" w:eastAsia="zh-CN"/>
        </w:rPr>
        <w:t>23</w:t>
      </w:r>
      <w:r>
        <w:rPr>
          <w:rFonts w:hint="eastAsia" w:ascii="仿宋_GB2312" w:hAnsi="宋体" w:eastAsia="仿宋_GB2312" w:cs="宋体"/>
          <w:bCs/>
          <w:spacing w:val="-11"/>
          <w:sz w:val="32"/>
          <w:szCs w:val="32"/>
          <w:highlight w:val="none"/>
        </w:rPr>
        <w:t>%；电子商务销售额</w:t>
      </w:r>
      <w:r>
        <w:rPr>
          <w:rFonts w:hint="eastAsia" w:ascii="仿宋_GB2312" w:hAnsi="宋体" w:eastAsia="仿宋_GB2312" w:cs="宋体"/>
          <w:bCs/>
          <w:spacing w:val="-11"/>
          <w:sz w:val="32"/>
          <w:szCs w:val="32"/>
          <w:highlight w:val="none"/>
          <w:lang w:val="en-US" w:eastAsia="zh-CN"/>
        </w:rPr>
        <w:t>865</w:t>
      </w:r>
      <w:r>
        <w:rPr>
          <w:rFonts w:hint="eastAsia" w:ascii="仿宋_GB2312" w:hAnsi="宋体" w:eastAsia="仿宋_GB2312" w:cs="宋体"/>
          <w:bCs/>
          <w:spacing w:val="-11"/>
          <w:sz w:val="32"/>
          <w:szCs w:val="32"/>
          <w:highlight w:val="none"/>
        </w:rPr>
        <w:t>万元，比去年同期增长</w:t>
      </w:r>
      <w:r>
        <w:rPr>
          <w:rFonts w:hint="eastAsia" w:ascii="仿宋_GB2312" w:hAnsi="宋体" w:eastAsia="仿宋_GB2312" w:cs="宋体"/>
          <w:bCs/>
          <w:spacing w:val="-11"/>
          <w:sz w:val="32"/>
          <w:szCs w:val="32"/>
          <w:highlight w:val="none"/>
          <w:lang w:val="en-US" w:eastAsia="zh-CN"/>
        </w:rPr>
        <w:t>23%</w:t>
      </w:r>
      <w:r>
        <w:rPr>
          <w:rFonts w:hint="eastAsia" w:ascii="仿宋_GB2312" w:hAnsi="宋体" w:eastAsia="仿宋_GB2312" w:cs="宋体"/>
          <w:bCs/>
          <w:spacing w:val="-11"/>
          <w:sz w:val="32"/>
          <w:szCs w:val="32"/>
          <w:highlight w:val="none"/>
        </w:rPr>
        <w:t>；营业总收入50870万元，比去年同期增长</w:t>
      </w:r>
      <w:r>
        <w:rPr>
          <w:rFonts w:hint="eastAsia" w:ascii="仿宋_GB2312" w:hAnsi="宋体" w:eastAsia="仿宋_GB2312" w:cs="宋体"/>
          <w:bCs/>
          <w:spacing w:val="-11"/>
          <w:sz w:val="32"/>
          <w:szCs w:val="32"/>
          <w:highlight w:val="none"/>
          <w:lang w:val="en-US" w:eastAsia="zh-CN"/>
        </w:rPr>
        <w:t>8.2</w:t>
      </w:r>
      <w:r>
        <w:rPr>
          <w:rFonts w:hint="eastAsia" w:ascii="仿宋_GB2312" w:hAnsi="宋体" w:eastAsia="仿宋_GB2312" w:cs="宋体"/>
          <w:bCs/>
          <w:spacing w:val="-11"/>
          <w:sz w:val="32"/>
          <w:szCs w:val="32"/>
          <w:highlight w:val="none"/>
        </w:rPr>
        <w:t>%。</w:t>
      </w:r>
      <w:r>
        <w:rPr>
          <w:rFonts w:hint="eastAsia" w:ascii="楷体_GB2312" w:eastAsia="楷体_GB2312"/>
          <w:b/>
          <w:sz w:val="32"/>
          <w:szCs w:val="32"/>
          <w:highlight w:val="none"/>
        </w:rPr>
        <w:t>（一）稳定农资市场保供给。</w:t>
      </w:r>
      <w:r>
        <w:rPr>
          <w:rFonts w:hint="eastAsia" w:ascii="仿宋_GB2312" w:eastAsia="仿宋_GB2312" w:cs="Times New Roman"/>
          <w:b/>
          <w:sz w:val="32"/>
          <w:szCs w:val="32"/>
          <w:highlight w:val="none"/>
        </w:rPr>
        <w:t>一是落实化肥补贴。</w:t>
      </w:r>
      <w:r>
        <w:rPr>
          <w:rFonts w:hint="eastAsia" w:ascii="仿宋_GB2312" w:eastAsia="仿宋_GB2312" w:cs="Times New Roman"/>
          <w:sz w:val="32"/>
          <w:szCs w:val="32"/>
          <w:highlight w:val="none"/>
        </w:rPr>
        <w:t>年初，对供销系统经营化肥的企业进行了摸底调研，</w:t>
      </w:r>
      <w:r>
        <w:rPr>
          <w:rFonts w:hint="eastAsia" w:ascii="仿宋_GB2312" w:eastAsia="仿宋_GB2312"/>
          <w:sz w:val="32"/>
          <w:szCs w:val="32"/>
          <w:highlight w:val="none"/>
        </w:rPr>
        <w:t>确定了具体的化肥补贴标准和办法</w:t>
      </w:r>
      <w:r>
        <w:rPr>
          <w:rFonts w:hint="eastAsia" w:ascii="仿宋_GB2312" w:eastAsia="仿宋_GB2312" w:cs="Times New Roman"/>
          <w:sz w:val="32"/>
          <w:szCs w:val="32"/>
          <w:highlight w:val="none"/>
        </w:rPr>
        <w:t>，筹措专项资金，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eastAsia="zh-CN"/>
        </w:rPr>
        <w:t>对销售量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val="en-US" w:eastAsia="zh-CN"/>
        </w:rPr>
        <w:t>500吨以上的基层社</w:t>
      </w:r>
      <w:r>
        <w:rPr>
          <w:rFonts w:hint="eastAsia" w:ascii="仿宋_GB2312" w:eastAsia="仿宋_GB2312" w:cs="Times New Roman"/>
          <w:sz w:val="32"/>
          <w:szCs w:val="32"/>
          <w:highlight w:val="none"/>
        </w:rPr>
        <w:t>发放了化肥补贴，</w:t>
      </w:r>
      <w:r>
        <w:rPr>
          <w:rFonts w:hint="eastAsia" w:ascii="仿宋_GB2312" w:hAnsi="仿宋_GB2312" w:eastAsia="仿宋_GB2312" w:cs="仿宋_GB2312"/>
          <w:kern w:val="10"/>
          <w:sz w:val="32"/>
          <w:szCs w:val="32"/>
          <w:highlight w:val="none"/>
        </w:rPr>
        <w:t>稳定</w:t>
      </w:r>
      <w:r>
        <w:rPr>
          <w:rFonts w:hint="eastAsia" w:ascii="仿宋_GB2312" w:hAnsi="仿宋_GB2312" w:eastAsia="仿宋_GB2312" w:cs="仿宋_GB2312"/>
          <w:kern w:val="10"/>
          <w:sz w:val="32"/>
          <w:szCs w:val="32"/>
          <w:highlight w:val="none"/>
          <w:lang w:eastAsia="zh-CN"/>
        </w:rPr>
        <w:t>了</w:t>
      </w:r>
      <w:r>
        <w:rPr>
          <w:rFonts w:hint="eastAsia" w:ascii="仿宋_GB2312" w:hAnsi="仿宋_GB2312" w:eastAsia="仿宋_GB2312" w:cs="仿宋_GB2312"/>
          <w:kern w:val="10"/>
          <w:sz w:val="32"/>
          <w:szCs w:val="32"/>
          <w:highlight w:val="none"/>
        </w:rPr>
        <w:t>市场价格</w:t>
      </w:r>
      <w:r>
        <w:rPr>
          <w:rFonts w:hint="eastAsia" w:ascii="仿宋_GB2312" w:eastAsia="仿宋_GB2312" w:cs="Times New Roman"/>
          <w:sz w:val="32"/>
          <w:szCs w:val="32"/>
          <w:highlight w:val="none"/>
        </w:rPr>
        <w:t>。</w:t>
      </w:r>
      <w:r>
        <w:rPr>
          <w:rFonts w:hint="eastAsia" w:ascii="仿宋_GB2312" w:eastAsia="仿宋_GB2312" w:cs="Times New Roman"/>
          <w:b/>
          <w:sz w:val="32"/>
          <w:szCs w:val="32"/>
          <w:highlight w:val="none"/>
        </w:rPr>
        <w:t>二是储备优质农资。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根据农资市场动态，</w:t>
      </w:r>
      <w:r>
        <w:rPr>
          <w:rFonts w:hint="eastAsia" w:ascii="仿宋_GB2312" w:hAnsi="仿宋_GB2312" w:eastAsia="仿宋_GB2312" w:cs="仿宋_GB2312"/>
          <w:kern w:val="10"/>
          <w:sz w:val="32"/>
          <w:szCs w:val="32"/>
          <w:highlight w:val="none"/>
        </w:rPr>
        <w:t>县社组织营销队伍深入企业、集镇和田间地头，听取农资经营网点和农民群众的需求意愿、意见建议，摸清农资市场动态，对需求较大的复合肥、二胺、尿素等化肥提前着手，加大采购力度，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满足全县农资需求。</w:t>
      </w:r>
      <w:r>
        <w:rPr>
          <w:rFonts w:hint="eastAsia" w:ascii="仿宋_GB2312" w:eastAsia="仿宋_GB2312" w:cs="Times New Roman"/>
          <w:b/>
          <w:sz w:val="32"/>
          <w:szCs w:val="32"/>
          <w:highlight w:val="none"/>
        </w:rPr>
        <w:t>三是</w:t>
      </w:r>
      <w:r>
        <w:rPr>
          <w:rFonts w:hint="eastAsia" w:ascii="仿宋_GB2312" w:eastAsia="仿宋_GB2312"/>
          <w:b/>
          <w:sz w:val="32"/>
          <w:szCs w:val="32"/>
          <w:highlight w:val="none"/>
        </w:rPr>
        <w:t>规范农资市场</w:t>
      </w:r>
      <w:r>
        <w:rPr>
          <w:rFonts w:hint="eastAsia" w:ascii="仿宋_GB2312" w:eastAsia="仿宋_GB2312" w:cs="Times New Roman"/>
          <w:b/>
          <w:sz w:val="32"/>
          <w:szCs w:val="32"/>
          <w:highlight w:val="none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 xml:space="preserve">我社会同市场监管局对全县15个乡镇农资市场开展“拉网式”专项执法检查2次，重点对种子、农药、肥料、农膜等主要农资产品的经营管理、产品质量等环节进行了仔细检查。共检查种子经营门店15家，农药、化肥门店26家，发放整改通知书9份。通过执法检查，进一步规范了农资经营市场秩序，为农民购买到合格、优质、放心的农业资料提供了保障。 </w:t>
      </w:r>
      <w:r>
        <w:rPr>
          <w:rFonts w:hint="eastAsia" w:ascii="楷体_GB2312" w:eastAsia="楷体_GB2312"/>
          <w:b/>
          <w:sz w:val="32"/>
          <w:szCs w:val="32"/>
          <w:highlight w:val="none"/>
        </w:rPr>
        <w:t>（二）薄弱社升级改造提实力。</w:t>
      </w:r>
      <w:r>
        <w:rPr>
          <w:rFonts w:hint="eastAsia" w:ascii="仿宋_GB2312" w:hAnsi="仿宋_GB2312" w:eastAsia="仿宋_GB2312" w:cs="仿宋_GB2312"/>
          <w:kern w:val="10"/>
          <w:sz w:val="32"/>
          <w:szCs w:val="32"/>
          <w:highlight w:val="none"/>
        </w:rPr>
        <w:t>今年，按照省社综合改革推进年活动要求，县社经过多次实地调研，确定将怀安社改造提升作为今年改革重点</w:t>
      </w:r>
      <w:r>
        <w:rPr>
          <w:rFonts w:hint="eastAsia" w:ascii="仿宋_GB2312" w:hAnsi="仿宋_GB2312" w:eastAsia="仿宋_GB2312" w:cs="仿宋_GB2312"/>
          <w:kern w:val="10"/>
          <w:sz w:val="32"/>
          <w:szCs w:val="32"/>
          <w:highlight w:val="none"/>
          <w:lang w:eastAsia="zh-CN"/>
        </w:rPr>
        <w:t>，由社属企业风堂农资带动共建了农资供应和农产品收购项目，降低了怀安社农资购进成本，拓宽了服务经营范围</w:t>
      </w:r>
      <w:r>
        <w:rPr>
          <w:rFonts w:hint="eastAsia" w:ascii="仿宋_GB2312" w:hAnsi="仿宋_GB2312" w:eastAsia="仿宋_GB2312" w:cs="仿宋_GB2312"/>
          <w:kern w:val="10"/>
          <w:sz w:val="32"/>
          <w:szCs w:val="32"/>
          <w:highlight w:val="none"/>
        </w:rPr>
        <w:t>。</w:t>
      </w:r>
      <w:r>
        <w:rPr>
          <w:rFonts w:hint="eastAsia" w:ascii="仿宋_GB2312" w:hAnsi="仿宋_GB2312" w:eastAsia="仿宋_GB2312" w:cs="仿宋_GB2312"/>
          <w:kern w:val="10"/>
          <w:sz w:val="32"/>
          <w:szCs w:val="32"/>
          <w:highlight w:val="none"/>
          <w:lang w:eastAsia="zh-CN"/>
        </w:rPr>
        <w:t>同时，</w:t>
      </w:r>
      <w:r>
        <w:rPr>
          <w:rFonts w:hint="eastAsia" w:ascii="仿宋_GB2312" w:hAnsi="仿宋_GB2312" w:eastAsia="仿宋_GB2312" w:cs="仿宋_GB2312"/>
          <w:kern w:val="10"/>
          <w:sz w:val="32"/>
          <w:szCs w:val="32"/>
          <w:highlight w:val="none"/>
        </w:rPr>
        <w:t>针对该基层社经营单一、服务功能较弱的情况，采取启动闲置资产、处理不良资产、县社资金补助等多种思路，经合作开发，有效盘活了低效闲置资产，购置办公设备，更新经营设施，激发内生动力，健全完善相关制度，使该基层社成为集收购、销售、便民于一体的标杆社，</w:t>
      </w:r>
      <w:r>
        <w:rPr>
          <w:rFonts w:hint="eastAsia" w:ascii="仿宋_GB2312" w:eastAsia="仿宋_GB2312"/>
          <w:sz w:val="32"/>
          <w:szCs w:val="32"/>
          <w:highlight w:val="none"/>
        </w:rPr>
        <w:t>能够更好的为农民提供便捷、优质的服务</w:t>
      </w:r>
      <w:r>
        <w:rPr>
          <w:rFonts w:hint="eastAsia" w:ascii="仿宋_GB2312" w:hAnsi="仿宋_GB2312" w:eastAsia="仿宋_GB2312" w:cs="仿宋_GB2312"/>
          <w:kern w:val="10"/>
          <w:sz w:val="32"/>
          <w:szCs w:val="32"/>
          <w:highlight w:val="none"/>
        </w:rPr>
        <w:t>。</w:t>
      </w:r>
      <w:r>
        <w:rPr>
          <w:rFonts w:hint="eastAsia" w:ascii="楷体_GB2312" w:eastAsia="楷体_GB2312"/>
          <w:b/>
          <w:sz w:val="32"/>
          <w:szCs w:val="32"/>
          <w:highlight w:val="none"/>
        </w:rPr>
        <w:t>（三）基层组织培育</w:t>
      </w:r>
      <w:r>
        <w:rPr>
          <w:rFonts w:hint="eastAsia" w:ascii="楷体_GB2312" w:eastAsia="楷体_GB2312"/>
          <w:b/>
          <w:sz w:val="32"/>
          <w:szCs w:val="32"/>
          <w:highlight w:val="none"/>
          <w:lang w:eastAsia="zh-CN"/>
        </w:rPr>
        <w:t>壮大</w:t>
      </w:r>
      <w:r>
        <w:rPr>
          <w:rFonts w:hint="eastAsia" w:ascii="楷体_GB2312" w:eastAsia="楷体_GB2312"/>
          <w:b/>
          <w:sz w:val="32"/>
          <w:szCs w:val="32"/>
          <w:highlight w:val="none"/>
        </w:rPr>
        <w:t>夯基础。</w:t>
      </w:r>
      <w:r>
        <w:rPr>
          <w:rFonts w:hint="eastAsia" w:ascii="仿宋_GB2312" w:hAnsi="仿宋_GB2312" w:eastAsia="仿宋_GB2312" w:cs="仿宋_GB2312"/>
          <w:kern w:val="10"/>
          <w:sz w:val="32"/>
          <w:szCs w:val="32"/>
          <w:highlight w:val="none"/>
        </w:rPr>
        <w:t>坚持以“夯实基层组织建设，培育壮大供销合作社”的工作思路，按照“投资主体多元化、改造形式多样化、经营业态现代化、服务内容市场化”的原则，指导基层组织进一步增强经济实力，提升服务功能，满足群众多层次、多元化需求，带动农户发展。</w:t>
      </w:r>
      <w:r>
        <w:rPr>
          <w:rFonts w:hint="eastAsia" w:ascii="仿宋_GB2312" w:hAnsi="仿宋_GB2312" w:eastAsia="仿宋_GB2312" w:cs="仿宋_GB2312"/>
          <w:kern w:val="10"/>
          <w:sz w:val="32"/>
          <w:szCs w:val="32"/>
          <w:highlight w:val="none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kern w:val="10"/>
          <w:sz w:val="32"/>
          <w:szCs w:val="32"/>
          <w:highlight w:val="none"/>
        </w:rPr>
        <w:t>年改造提升村级综合服务社</w:t>
      </w:r>
      <w:r>
        <w:rPr>
          <w:rFonts w:hint="eastAsia" w:ascii="仿宋_GB2312" w:hAnsi="仿宋_GB2312" w:eastAsia="仿宋_GB2312" w:cs="仿宋_GB2312"/>
          <w:kern w:val="10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kern w:val="10"/>
          <w:sz w:val="32"/>
          <w:szCs w:val="32"/>
          <w:highlight w:val="none"/>
        </w:rPr>
        <w:t>个，创建农民专业合作示范社</w:t>
      </w:r>
      <w:r>
        <w:rPr>
          <w:rFonts w:hint="eastAsia" w:ascii="仿宋_GB2312" w:hAnsi="仿宋_GB2312" w:eastAsia="仿宋_GB2312" w:cs="仿宋_GB2312"/>
          <w:kern w:val="10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kern w:val="10"/>
          <w:sz w:val="32"/>
          <w:szCs w:val="32"/>
          <w:highlight w:val="none"/>
        </w:rPr>
        <w:t>个，规范提升生产性为农服务中心</w:t>
      </w:r>
      <w:r>
        <w:rPr>
          <w:rFonts w:hint="eastAsia" w:ascii="仿宋_GB2312" w:hAnsi="仿宋_GB2312" w:eastAsia="仿宋_GB2312" w:cs="仿宋_GB2312"/>
          <w:kern w:val="10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kern w:val="10"/>
          <w:sz w:val="32"/>
          <w:szCs w:val="32"/>
          <w:highlight w:val="none"/>
        </w:rPr>
        <w:t>个、庄稼医院</w:t>
      </w:r>
      <w:r>
        <w:rPr>
          <w:rFonts w:hint="eastAsia" w:ascii="仿宋_GB2312" w:hAnsi="仿宋_GB2312" w:eastAsia="仿宋_GB2312" w:cs="仿宋_GB2312"/>
          <w:kern w:val="1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kern w:val="10"/>
          <w:sz w:val="32"/>
          <w:szCs w:val="32"/>
          <w:highlight w:val="none"/>
        </w:rPr>
        <w:t>个，新增农资配送中心</w:t>
      </w:r>
      <w:r>
        <w:rPr>
          <w:rFonts w:hint="eastAsia" w:ascii="仿宋_GB2312" w:hAnsi="仿宋_GB2312" w:eastAsia="仿宋_GB2312" w:cs="仿宋_GB2312"/>
          <w:kern w:val="10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kern w:val="10"/>
          <w:sz w:val="32"/>
          <w:szCs w:val="32"/>
          <w:highlight w:val="none"/>
        </w:rPr>
        <w:t>个、农资供应中心</w:t>
      </w:r>
      <w:r>
        <w:rPr>
          <w:rFonts w:hint="eastAsia" w:ascii="仿宋_GB2312" w:hAnsi="仿宋_GB2312" w:eastAsia="仿宋_GB2312" w:cs="仿宋_GB2312"/>
          <w:kern w:val="10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kern w:val="10"/>
          <w:sz w:val="32"/>
          <w:szCs w:val="32"/>
          <w:highlight w:val="none"/>
        </w:rPr>
        <w:t>个、农产品收购站</w:t>
      </w:r>
      <w:r>
        <w:rPr>
          <w:rFonts w:hint="eastAsia" w:ascii="仿宋_GB2312" w:hAnsi="仿宋_GB2312" w:eastAsia="仿宋_GB2312" w:cs="仿宋_GB2312"/>
          <w:kern w:val="1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kern w:val="10"/>
          <w:sz w:val="32"/>
          <w:szCs w:val="32"/>
          <w:highlight w:val="none"/>
        </w:rPr>
        <w:t>个。</w:t>
      </w:r>
      <w:r>
        <w:rPr>
          <w:rFonts w:hint="eastAsia" w:ascii="楷体_GB2312" w:eastAsia="楷体_GB2312"/>
          <w:b/>
          <w:sz w:val="32"/>
          <w:szCs w:val="32"/>
          <w:highlight w:val="none"/>
        </w:rPr>
        <w:t>（四）供销便民服务</w:t>
      </w:r>
      <w:r>
        <w:rPr>
          <w:rFonts w:hint="eastAsia" w:ascii="楷体_GB2312" w:eastAsia="楷体_GB2312"/>
          <w:b/>
          <w:sz w:val="32"/>
          <w:szCs w:val="32"/>
          <w:highlight w:val="none"/>
          <w:lang w:eastAsia="zh-CN"/>
        </w:rPr>
        <w:t>建设</w:t>
      </w:r>
      <w:r>
        <w:rPr>
          <w:rFonts w:hint="eastAsia" w:ascii="楷体_GB2312" w:eastAsia="楷体_GB2312"/>
          <w:b/>
          <w:sz w:val="32"/>
          <w:szCs w:val="32"/>
          <w:highlight w:val="none"/>
        </w:rPr>
        <w:t>强功能。</w:t>
      </w:r>
      <w:r>
        <w:rPr>
          <w:rFonts w:hint="eastAsia" w:ascii="仿宋_GB2312" w:hAnsi="仿宋_GB2312" w:eastAsia="仿宋_GB2312" w:cs="仿宋_GB2312"/>
          <w:kern w:val="10"/>
          <w:sz w:val="32"/>
          <w:szCs w:val="32"/>
          <w:highlight w:val="none"/>
        </w:rPr>
        <w:t>按照市社安排，</w:t>
      </w:r>
      <w:r>
        <w:rPr>
          <w:rFonts w:hint="eastAsia" w:ascii="仿宋_GB2312" w:hAnsi="仿宋_GB2312" w:eastAsia="仿宋_GB2312" w:cs="仿宋_GB2312"/>
          <w:kern w:val="10"/>
          <w:sz w:val="32"/>
          <w:szCs w:val="32"/>
          <w:highlight w:val="none"/>
          <w:lang w:eastAsia="zh-CN"/>
        </w:rPr>
        <w:t>县供销社</w:t>
      </w:r>
      <w:r>
        <w:rPr>
          <w:rFonts w:hint="eastAsia" w:ascii="仿宋_GB2312" w:hAnsi="仿宋_GB2312" w:eastAsia="仿宋_GB2312" w:cs="仿宋_GB2312"/>
          <w:kern w:val="10"/>
          <w:sz w:val="32"/>
          <w:szCs w:val="32"/>
          <w:highlight w:val="none"/>
        </w:rPr>
        <w:t>以“服务三农”为宗旨，以“开放办社”为前提，在吸纳合作上做文章，采取“共同出资，共享品牌”的办法，在全县新建6个“供销便民店”和1个“供销便民服务中心”，利用龙头企业的资金优势、人才优势、服务优势，有力保障了便民店的健康持续发展。同时，将供销服务理念融入便民店的日常经营中，进一步宣传供销品牌，扩大供销服务“三农”的影响力。</w:t>
      </w:r>
      <w:r>
        <w:rPr>
          <w:rFonts w:hint="eastAsia" w:ascii="楷体_GB2312" w:eastAsia="楷体_GB2312"/>
          <w:b/>
          <w:sz w:val="32"/>
          <w:szCs w:val="32"/>
          <w:highlight w:val="none"/>
        </w:rPr>
        <w:t>（五）再生资源</w:t>
      </w:r>
      <w:r>
        <w:rPr>
          <w:rFonts w:hint="eastAsia" w:ascii="楷体_GB2312" w:eastAsia="楷体_GB2312"/>
          <w:b/>
          <w:sz w:val="32"/>
          <w:szCs w:val="32"/>
          <w:highlight w:val="none"/>
          <w:lang w:eastAsia="zh-CN"/>
        </w:rPr>
        <w:t>回收</w:t>
      </w:r>
      <w:r>
        <w:rPr>
          <w:rFonts w:hint="eastAsia" w:ascii="楷体_GB2312" w:eastAsia="楷体_GB2312"/>
          <w:b/>
          <w:sz w:val="32"/>
          <w:szCs w:val="32"/>
          <w:highlight w:val="none"/>
        </w:rPr>
        <w:t>利用增服务。</w:t>
      </w:r>
      <w:r>
        <w:rPr>
          <w:rFonts w:hint="eastAsia" w:ascii="仿宋_GB2312" w:hAnsi="仿宋_GB2312" w:eastAsia="仿宋_GB2312" w:cs="仿宋_GB2312"/>
          <w:kern w:val="10"/>
          <w:sz w:val="32"/>
          <w:szCs w:val="32"/>
          <w:highlight w:val="none"/>
        </w:rPr>
        <w:t>充分利用供销系统再生资源网络，采取固定站点收购、巡回收购、电话预约、地膜以旧换新等多种收购方式，以村、组回收站点为基础，乡镇分拣中心为支撑，指导社属企业参与农村生活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垃圾回收利用和农业农村生产废弃物资源化利用，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使其</w:t>
      </w:r>
      <w:r>
        <w:rPr>
          <w:rFonts w:hint="eastAsia" w:ascii="仿宋_GB2312" w:hAnsi="仿宋_GB2312" w:eastAsia="仿宋_GB2312" w:cs="仿宋_GB2312"/>
          <w:kern w:val="10"/>
          <w:sz w:val="32"/>
          <w:szCs w:val="32"/>
          <w:highlight w:val="none"/>
        </w:rPr>
        <w:t>由“废品买卖型”向“环境服务型”转型升级，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有效带动我县再生资源利用行业的发展，在实施乡村振兴战略中发挥了积极作用。</w:t>
      </w:r>
      <w:r>
        <w:rPr>
          <w:rFonts w:hint="eastAsia" w:ascii="楷体_GB2312" w:eastAsia="楷体_GB2312"/>
          <w:b/>
          <w:sz w:val="32"/>
          <w:szCs w:val="32"/>
          <w:highlight w:val="none"/>
        </w:rPr>
        <w:t>（六）电子商务</w:t>
      </w:r>
      <w:r>
        <w:rPr>
          <w:rFonts w:hint="eastAsia" w:ascii="楷体_GB2312" w:eastAsia="楷体_GB2312"/>
          <w:b/>
          <w:sz w:val="32"/>
          <w:szCs w:val="32"/>
          <w:highlight w:val="none"/>
          <w:lang w:eastAsia="zh-CN"/>
        </w:rPr>
        <w:t>纵深推进</w:t>
      </w:r>
      <w:r>
        <w:rPr>
          <w:rFonts w:hint="eastAsia" w:ascii="楷体_GB2312" w:eastAsia="楷体_GB2312"/>
          <w:b/>
          <w:sz w:val="32"/>
          <w:szCs w:val="32"/>
          <w:highlight w:val="none"/>
        </w:rPr>
        <w:t>促发展。</w:t>
      </w:r>
      <w:r>
        <w:rPr>
          <w:rFonts w:hint="eastAsia" w:ascii="仿宋_GB2312" w:hAnsi="仿宋_GB2312" w:eastAsia="仿宋_GB2312" w:cs="仿宋_GB2312"/>
          <w:kern w:val="10"/>
          <w:sz w:val="32"/>
          <w:szCs w:val="32"/>
          <w:highlight w:val="none"/>
        </w:rPr>
        <w:t>积极发挥供销合作流通网络优势，加快发展农村电子商务建设，组建具有交易、金融、信息和技术服务等多功能于一体的电子商务平台，最大范围的吸纳村级综合服务社、农民专业合作社，积极与农业产业化龙头企业对接，形成网上供销是一家，网下区块共发展的格局。目前，规范提升电子商务站</w:t>
      </w:r>
      <w:r>
        <w:rPr>
          <w:rFonts w:hint="eastAsia" w:ascii="仿宋_GB2312" w:hAnsi="仿宋_GB2312" w:eastAsia="仿宋_GB2312" w:cs="仿宋_GB2312"/>
          <w:kern w:val="10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kern w:val="10"/>
          <w:sz w:val="32"/>
          <w:szCs w:val="32"/>
          <w:highlight w:val="none"/>
        </w:rPr>
        <w:t>个、村级电子商务终端</w:t>
      </w:r>
      <w:r>
        <w:rPr>
          <w:rFonts w:hint="eastAsia" w:ascii="仿宋_GB2312" w:hAnsi="仿宋_GB2312" w:eastAsia="仿宋_GB2312" w:cs="仿宋_GB2312"/>
          <w:kern w:val="10"/>
          <w:sz w:val="32"/>
          <w:szCs w:val="32"/>
          <w:highlight w:val="none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kern w:val="10"/>
          <w:sz w:val="32"/>
          <w:szCs w:val="32"/>
          <w:highlight w:val="none"/>
        </w:rPr>
        <w:t>个。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3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 w:val="0"/>
          <w:color w:val="000000" w:themeColor="text1"/>
          <w:spacing w:val="0"/>
          <w:kern w:val="2"/>
          <w:sz w:val="32"/>
          <w:szCs w:val="32"/>
          <w:shd w:val="clear" w:color="auto" w:fill="FFFFFF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/>
          <w:bCs w:val="0"/>
          <w:color w:val="000000" w:themeColor="text1"/>
          <w:spacing w:val="0"/>
          <w:kern w:val="2"/>
          <w:sz w:val="32"/>
          <w:szCs w:val="32"/>
          <w:shd w:val="clear" w:color="auto" w:fill="FFFFFF"/>
          <w:lang w:val="en-US" w:eastAsia="zh-CN" w:bidi="ar-SA"/>
          <w14:textFill>
            <w14:solidFill>
              <w14:schemeClr w14:val="tx1"/>
            </w14:solidFill>
          </w14:textFill>
        </w:rPr>
        <w:t>(三)当年部门年度整体支出绩效目标。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92" w:firstLineChars="200"/>
        <w:jc w:val="left"/>
        <w:textAlignment w:val="auto"/>
        <w:rPr>
          <w:rFonts w:hint="eastAsia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一是落实人员类资金支付到位不拖欠，调动职工积极性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；二是做好各类支付，确保机构正常运转。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3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 w:val="0"/>
          <w:color w:val="000000" w:themeColor="text1"/>
          <w:spacing w:val="0"/>
          <w:kern w:val="2"/>
          <w:sz w:val="32"/>
          <w:szCs w:val="32"/>
          <w:shd w:val="clear" w:color="auto" w:fill="FFFFFF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/>
          <w:bCs w:val="0"/>
          <w:color w:val="000000" w:themeColor="text1"/>
          <w:spacing w:val="0"/>
          <w:kern w:val="2"/>
          <w:sz w:val="32"/>
          <w:szCs w:val="32"/>
          <w:shd w:val="clear" w:color="auto" w:fill="FFFFFF"/>
          <w:lang w:val="en-US" w:eastAsia="zh-CN" w:bidi="ar-SA"/>
          <w14:textFill>
            <w14:solidFill>
              <w14:schemeClr w14:val="tx1"/>
            </w14:solidFill>
          </w14:textFill>
        </w:rPr>
        <w:t>(四)部门预算绩效管理开展情况。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1.预算编制环节。(1)建立完善预算编制的组织管理体制，做好预算编制的各项准备工作;(2)规范预算编制程序，明确审批要求;(3)完善编制方法，细化预算编制;(4)重大预算项目采取立项评审方式。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2.预算批复环节。(1)明确预算批复的责任;(2)合理进行内部预算指标分解;(3)合理采用内部预算批复方法;(4)严格控制内部预算追加调整。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58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/>
          <w:bCs w:val="0"/>
          <w:color w:val="000000" w:themeColor="text1"/>
          <w:spacing w:val="0"/>
          <w:kern w:val="2"/>
          <w:sz w:val="32"/>
          <w:szCs w:val="32"/>
          <w:shd w:val="clear" w:color="auto" w:fill="FFFFFF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b/>
          <w:bCs w:val="0"/>
          <w:color w:val="000000" w:themeColor="text1"/>
          <w:spacing w:val="0"/>
          <w:kern w:val="2"/>
          <w:sz w:val="32"/>
          <w:szCs w:val="32"/>
          <w:shd w:val="clear" w:color="auto" w:fill="FFFFFF"/>
          <w:lang w:val="en-US" w:eastAsia="zh-CN" w:bidi="ar-SA"/>
          <w14:textFill>
            <w14:solidFill>
              <w14:schemeClr w14:val="tx1"/>
            </w14:solidFill>
          </w14:textFill>
        </w:rPr>
        <w:t xml:space="preserve">   (五)当年部门预算及执行情况。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highlight w:val="none"/>
          <w:lang w:bidi="zh-HK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ascii="仿宋_GB2312" w:eastAsia="仿宋_GB2312" w:cs="仿宋_GB2312"/>
          <w:sz w:val="32"/>
          <w:szCs w:val="32"/>
          <w:highlight w:val="none"/>
          <w:lang w:bidi="zh-HK"/>
        </w:rPr>
        <w:t>2023年度</w:t>
      </w:r>
      <w:r>
        <w:rPr>
          <w:rFonts w:hint="eastAsia" w:ascii="仿宋_GB2312" w:hAnsi="仿宋_GB2312" w:eastAsia="仿宋_GB2312" w:cs="仿宋_GB2312"/>
          <w:sz w:val="32"/>
          <w:highlight w:val="none"/>
          <w:lang w:bidi="zh-HK"/>
        </w:rPr>
        <w:t>财政拨款收入</w:t>
      </w:r>
      <w:r>
        <w:rPr>
          <w:rFonts w:ascii="仿宋_GB2312" w:eastAsia="仿宋_GB2312" w:cs="仿宋_GB2312"/>
          <w:sz w:val="32"/>
          <w:szCs w:val="32"/>
          <w:highlight w:val="none"/>
          <w:lang w:bidi="zh-HK"/>
        </w:rPr>
        <w:t>为131.03万元。与2022年度相比，下降21.07%。</w:t>
      </w:r>
      <w:r>
        <w:rPr>
          <w:rFonts w:hint="eastAsia" w:ascii="仿宋_GB2312" w:hAnsi="仿宋_GB2312" w:eastAsia="仿宋_GB2312" w:cs="仿宋_GB2312"/>
          <w:sz w:val="32"/>
          <w:highlight w:val="none"/>
          <w:lang w:bidi="zh-HK"/>
        </w:rPr>
        <w:t>其中，一般公共预算基本支出财政拨款收入</w:t>
      </w:r>
      <w:r>
        <w:rPr>
          <w:rFonts w:hint="eastAsia" w:ascii="仿宋_GB2312" w:eastAsia="仿宋_GB2312" w:cs="仿宋_GB2312"/>
          <w:sz w:val="32"/>
          <w:szCs w:val="32"/>
          <w:highlight w:val="none"/>
          <w:lang w:bidi="zh-HK"/>
        </w:rPr>
        <w:t>131.03</w:t>
      </w:r>
      <w:r>
        <w:rPr>
          <w:rFonts w:hint="eastAsia" w:ascii="仿宋_GB2312" w:hAnsi="仿宋_GB2312" w:eastAsia="仿宋_GB2312" w:cs="仿宋_GB2312"/>
          <w:sz w:val="32"/>
          <w:highlight w:val="none"/>
          <w:lang w:bidi="zh-HK"/>
        </w:rPr>
        <w:t>万元，占一般公共预算财政拨款收入的</w:t>
      </w:r>
      <w:r>
        <w:rPr>
          <w:rFonts w:hint="eastAsia" w:ascii="仿宋_GB2312" w:eastAsia="仿宋_GB2312" w:cs="仿宋_GB2312"/>
          <w:sz w:val="32"/>
          <w:szCs w:val="32"/>
          <w:highlight w:val="none"/>
          <w:lang w:bidi="zh-HK"/>
        </w:rPr>
        <w:t>100.00</w:t>
      </w:r>
      <w:r>
        <w:rPr>
          <w:rFonts w:eastAsia="Times New Roman"/>
          <w:sz w:val="32"/>
          <w:highlight w:val="none"/>
          <w:lang w:bidi="zh-HK"/>
        </w:rPr>
        <w:t>%</w:t>
      </w:r>
      <w:r>
        <w:rPr>
          <w:rFonts w:hint="eastAsia" w:ascii="仿宋_GB2312" w:hAnsi="仿宋_GB2312" w:eastAsia="仿宋_GB2312" w:cs="仿宋_GB2312"/>
          <w:sz w:val="32"/>
          <w:highlight w:val="none"/>
          <w:lang w:bidi="zh-HK"/>
        </w:rPr>
        <w:t>。</w:t>
      </w:r>
    </w:p>
    <w:p>
      <w:pPr>
        <w:ind w:firstLine="640" w:firstLineChars="200"/>
        <w:rPr>
          <w:rFonts w:ascii="仿宋_GB2312" w:eastAsia="仿宋_GB2312" w:cs="仿宋_GB2312"/>
          <w:sz w:val="32"/>
          <w:szCs w:val="32"/>
          <w:highlight w:val="none"/>
          <w:lang w:bidi="zh-HK"/>
        </w:rPr>
      </w:pPr>
      <w:r>
        <w:rPr>
          <w:rFonts w:ascii="仿宋_GB2312" w:eastAsia="仿宋_GB2312" w:cs="仿宋_GB2312"/>
          <w:sz w:val="32"/>
          <w:szCs w:val="32"/>
          <w:highlight w:val="none"/>
          <w:lang w:bidi="zh-HK"/>
        </w:rPr>
        <w:t>2023年度</w:t>
      </w:r>
      <w:r>
        <w:rPr>
          <w:rFonts w:hint="eastAsia" w:ascii="仿宋_GB2312" w:hAnsi="仿宋_GB2312" w:eastAsia="仿宋_GB2312" w:cs="仿宋_GB2312"/>
          <w:sz w:val="32"/>
          <w:highlight w:val="none"/>
          <w:lang w:bidi="zh-HK"/>
        </w:rPr>
        <w:t>财政拨款支出</w:t>
      </w:r>
      <w:r>
        <w:rPr>
          <w:rFonts w:ascii="仿宋_GB2312" w:eastAsia="仿宋_GB2312" w:cs="仿宋_GB2312"/>
          <w:sz w:val="32"/>
          <w:szCs w:val="32"/>
          <w:highlight w:val="none"/>
          <w:lang w:bidi="zh-HK"/>
        </w:rPr>
        <w:t>为131.03万元。与2022年度相比，下降10.86%。</w:t>
      </w:r>
      <w:r>
        <w:rPr>
          <w:rFonts w:hint="eastAsia" w:ascii="仿宋_GB2312" w:hAnsi="仿宋_GB2312" w:eastAsia="仿宋_GB2312" w:cs="仿宋_GB2312"/>
          <w:sz w:val="32"/>
          <w:highlight w:val="none"/>
          <w:lang w:bidi="zh-HK"/>
        </w:rPr>
        <w:t>其中：一般公共预算财政拨款支出</w:t>
      </w:r>
      <w:r>
        <w:rPr>
          <w:rFonts w:hint="eastAsia" w:ascii="仿宋_GB2312" w:eastAsia="仿宋_GB2312" w:cs="仿宋_GB2312"/>
          <w:sz w:val="32"/>
          <w:szCs w:val="32"/>
          <w:highlight w:val="none"/>
          <w:lang w:bidi="zh-HK"/>
        </w:rPr>
        <w:t>131.03</w:t>
      </w:r>
      <w:r>
        <w:rPr>
          <w:rFonts w:hint="eastAsia" w:ascii="仿宋_GB2312" w:hAnsi="仿宋_GB2312" w:eastAsia="仿宋_GB2312" w:cs="仿宋_GB2312"/>
          <w:sz w:val="32"/>
          <w:highlight w:val="none"/>
          <w:lang w:bidi="zh-HK"/>
        </w:rPr>
        <w:t>万元，一般公共预算财政拨款基本支出</w:t>
      </w:r>
      <w:r>
        <w:rPr>
          <w:rFonts w:ascii="仿宋_GB2312" w:eastAsia="仿宋_GB2312" w:cs="仿宋_GB2312"/>
          <w:sz w:val="32"/>
          <w:szCs w:val="32"/>
          <w:highlight w:val="none"/>
          <w:lang w:bidi="zh-HK"/>
        </w:rPr>
        <w:t>为131.03万元。与2022年度相比，下降6.36%</w:t>
      </w:r>
      <w:r>
        <w:rPr>
          <w:rFonts w:hint="eastAsia" w:ascii="仿宋_GB2312" w:eastAsia="仿宋_GB2312" w:cs="仿宋_GB2312"/>
          <w:sz w:val="32"/>
          <w:szCs w:val="32"/>
          <w:highlight w:val="none"/>
          <w:lang w:bidi="zh-HK"/>
        </w:rPr>
        <w:t>，</w:t>
      </w:r>
      <w:r>
        <w:rPr>
          <w:rFonts w:hint="eastAsia" w:ascii="仿宋_GB2312" w:hAnsi="仿宋_GB2312" w:eastAsia="仿宋_GB2312" w:cs="仿宋_GB2312"/>
          <w:sz w:val="32"/>
          <w:highlight w:val="none"/>
          <w:lang w:bidi="zh-HK"/>
        </w:rPr>
        <w:t>一般公共预算财政拨款项目支出</w:t>
      </w:r>
      <w:r>
        <w:rPr>
          <w:rFonts w:ascii="仿宋_GB2312" w:eastAsia="仿宋_GB2312" w:cs="仿宋_GB2312"/>
          <w:sz w:val="32"/>
          <w:szCs w:val="32"/>
          <w:highlight w:val="none"/>
          <w:lang w:bidi="zh-HK"/>
        </w:rPr>
        <w:t>为0.00万元。与2022年度相比，下降100.0%</w:t>
      </w:r>
      <w:r>
        <w:rPr>
          <w:rFonts w:hint="eastAsia" w:ascii="仿宋_GB2312" w:eastAsia="仿宋_GB2312" w:cs="仿宋_GB2312"/>
          <w:sz w:val="32"/>
          <w:szCs w:val="32"/>
          <w:highlight w:val="none"/>
          <w:lang w:bidi="zh-HK"/>
        </w:rPr>
        <w:t>，其中：</w:t>
      </w:r>
      <w:r>
        <w:rPr>
          <w:rFonts w:hint="eastAsia" w:ascii="仿宋_GB2312" w:hAnsi="仿宋_GB2312" w:eastAsia="仿宋_GB2312" w:cs="仿宋_GB2312"/>
          <w:sz w:val="32"/>
          <w:highlight w:val="none"/>
          <w:lang w:bidi="zh-HK"/>
        </w:rPr>
        <w:t>基本建设类项目一般公共预算财政拨款支出</w:t>
      </w:r>
      <w:r>
        <w:rPr>
          <w:rFonts w:ascii="仿宋_GB2312" w:eastAsia="仿宋_GB2312" w:cs="仿宋_GB2312"/>
          <w:sz w:val="32"/>
          <w:szCs w:val="32"/>
          <w:highlight w:val="none"/>
          <w:lang w:bidi="zh-HK"/>
        </w:rPr>
        <w:t>为0.00万元。与2022年度相比，持平。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580" w:lineRule="exact"/>
        <w:ind w:firstLine="640" w:firstLineChars="200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580" w:lineRule="exact"/>
        <w:ind w:firstLine="320" w:firstLineChars="100"/>
        <w:textAlignment w:val="auto"/>
        <w:rPr>
          <w:rFonts w:hint="eastAsia"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" w:eastAsia="仿宋_GB2312"/>
          <w:b w:val="0"/>
          <w:bCs/>
          <w:sz w:val="32"/>
          <w:szCs w:val="32"/>
        </w:rPr>
        <w:t>3</w:t>
      </w:r>
      <w:r>
        <w:rPr>
          <w:rFonts w:hint="eastAsia" w:ascii="仿宋_GB2312" w:hAnsi="仿宋" w:eastAsia="仿宋_GB2312"/>
          <w:b/>
          <w:sz w:val="32"/>
          <w:szCs w:val="32"/>
        </w:rPr>
        <w:t>．</w:t>
      </w:r>
      <w:r>
        <w:rPr>
          <w:rFonts w:hint="eastAsia" w:ascii="仿宋_GB2312" w:hAnsi="仿宋" w:eastAsia="仿宋_GB2312"/>
          <w:sz w:val="32"/>
          <w:szCs w:val="32"/>
        </w:rPr>
        <w:t>“三公”经费情况</w:t>
      </w:r>
      <w:r>
        <w:rPr>
          <w:rFonts w:hint="eastAsia" w:ascii="仿宋_GB2312" w:hAnsi="仿宋" w:eastAsia="仿宋_GB2312"/>
          <w:b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580" w:lineRule="exact"/>
        <w:ind w:firstLine="320" w:firstLineChars="100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（1）“三公”经费支出情况：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我单位无</w:t>
      </w:r>
      <w:r>
        <w:rPr>
          <w:rFonts w:hint="eastAsia" w:ascii="仿宋_GB2312" w:hAnsi="仿宋" w:eastAsia="仿宋_GB2312"/>
          <w:sz w:val="32"/>
          <w:szCs w:val="32"/>
        </w:rPr>
        <w:t>“三公”经费支出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580" w:lineRule="exact"/>
        <w:ind w:firstLine="320" w:firstLineChars="100"/>
        <w:textAlignment w:val="auto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（2）会议费支出情况：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无会议支出。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580" w:lineRule="exact"/>
        <w:ind w:firstLine="320" w:firstLineChars="100"/>
        <w:textAlignment w:val="auto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（3）培训费支出情况：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580" w:lineRule="exact"/>
        <w:ind w:firstLine="320" w:firstLineChars="100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（4）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其他对单位影响较大的支出情况。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sz w:val="32"/>
          <w:szCs w:val="32"/>
        </w:rPr>
        <w:t>二、部门整体支出绩效实现情况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3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 w:val="0"/>
          <w:color w:val="000000" w:themeColor="text1"/>
          <w:spacing w:val="0"/>
          <w:kern w:val="2"/>
          <w:sz w:val="32"/>
          <w:szCs w:val="32"/>
          <w:shd w:val="clear" w:color="auto" w:fill="FFFFFF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/>
          <w:bCs w:val="0"/>
          <w:color w:val="000000" w:themeColor="text1"/>
          <w:spacing w:val="0"/>
          <w:kern w:val="2"/>
          <w:sz w:val="32"/>
          <w:szCs w:val="32"/>
          <w:shd w:val="clear" w:color="auto" w:fill="FFFFFF"/>
          <w:lang w:val="en-US" w:eastAsia="zh-CN" w:bidi="ar-SA"/>
          <w14:textFill>
            <w14:solidFill>
              <w14:schemeClr w14:val="tx1"/>
            </w14:solidFill>
          </w14:textFill>
        </w:rPr>
        <w:t>(一)履职完成情况</w:t>
      </w: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58" w:lineRule="exact"/>
        <w:ind w:firstLine="643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  <w:highlight w:val="none"/>
        </w:rPr>
        <w:t>（一）稳定农资市场保供给。</w:t>
      </w:r>
      <w:r>
        <w:rPr>
          <w:rFonts w:hint="eastAsia" w:ascii="仿宋_GB2312" w:eastAsia="仿宋_GB2312" w:cs="Times New Roman"/>
          <w:b/>
          <w:sz w:val="32"/>
          <w:szCs w:val="32"/>
          <w:highlight w:val="none"/>
        </w:rPr>
        <w:t>一是落实化肥补贴。</w:t>
      </w:r>
      <w:r>
        <w:rPr>
          <w:rFonts w:hint="eastAsia" w:ascii="仿宋_GB2312" w:eastAsia="仿宋_GB2312" w:cs="Times New Roman"/>
          <w:sz w:val="32"/>
          <w:szCs w:val="32"/>
          <w:highlight w:val="none"/>
        </w:rPr>
        <w:t>年初，对供销系统经营化肥的企业进行了摸底调研，</w:t>
      </w:r>
      <w:r>
        <w:rPr>
          <w:rFonts w:hint="eastAsia" w:ascii="仿宋_GB2312" w:eastAsia="仿宋_GB2312"/>
          <w:sz w:val="32"/>
          <w:szCs w:val="32"/>
          <w:highlight w:val="none"/>
        </w:rPr>
        <w:t>确定了具体的化肥补贴标准和办法</w:t>
      </w:r>
      <w:r>
        <w:rPr>
          <w:rFonts w:hint="eastAsia" w:ascii="仿宋_GB2312" w:eastAsia="仿宋_GB2312" w:cs="Times New Roman"/>
          <w:sz w:val="32"/>
          <w:szCs w:val="32"/>
          <w:highlight w:val="none"/>
        </w:rPr>
        <w:t>，筹措专项资金，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eastAsia="zh-CN"/>
        </w:rPr>
        <w:t>对销售量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val="en-US" w:eastAsia="zh-CN"/>
        </w:rPr>
        <w:t>500吨以上的基层社</w:t>
      </w:r>
      <w:r>
        <w:rPr>
          <w:rFonts w:hint="eastAsia" w:ascii="仿宋_GB2312" w:eastAsia="仿宋_GB2312" w:cs="Times New Roman"/>
          <w:sz w:val="32"/>
          <w:szCs w:val="32"/>
          <w:highlight w:val="none"/>
        </w:rPr>
        <w:t>发放了化肥补贴，</w:t>
      </w:r>
      <w:r>
        <w:rPr>
          <w:rFonts w:hint="eastAsia" w:ascii="仿宋_GB2312" w:hAnsi="仿宋_GB2312" w:eastAsia="仿宋_GB2312" w:cs="仿宋_GB2312"/>
          <w:kern w:val="10"/>
          <w:sz w:val="32"/>
          <w:szCs w:val="32"/>
          <w:highlight w:val="none"/>
        </w:rPr>
        <w:t>稳定</w:t>
      </w:r>
      <w:r>
        <w:rPr>
          <w:rFonts w:hint="eastAsia" w:ascii="仿宋_GB2312" w:hAnsi="仿宋_GB2312" w:eastAsia="仿宋_GB2312" w:cs="仿宋_GB2312"/>
          <w:kern w:val="10"/>
          <w:sz w:val="32"/>
          <w:szCs w:val="32"/>
          <w:highlight w:val="none"/>
          <w:lang w:eastAsia="zh-CN"/>
        </w:rPr>
        <w:t>了</w:t>
      </w:r>
      <w:r>
        <w:rPr>
          <w:rFonts w:hint="eastAsia" w:ascii="仿宋_GB2312" w:hAnsi="仿宋_GB2312" w:eastAsia="仿宋_GB2312" w:cs="仿宋_GB2312"/>
          <w:kern w:val="10"/>
          <w:sz w:val="32"/>
          <w:szCs w:val="32"/>
          <w:highlight w:val="none"/>
        </w:rPr>
        <w:t>市场价格</w:t>
      </w:r>
      <w:r>
        <w:rPr>
          <w:rFonts w:hint="eastAsia" w:ascii="仿宋_GB2312" w:eastAsia="仿宋_GB2312" w:cs="Times New Roman"/>
          <w:sz w:val="32"/>
          <w:szCs w:val="32"/>
          <w:highlight w:val="none"/>
        </w:rPr>
        <w:t>。</w:t>
      </w:r>
      <w:r>
        <w:rPr>
          <w:rFonts w:hint="eastAsia" w:ascii="仿宋_GB2312" w:eastAsia="仿宋_GB2312" w:cs="Times New Roman"/>
          <w:b/>
          <w:sz w:val="32"/>
          <w:szCs w:val="32"/>
          <w:highlight w:val="none"/>
        </w:rPr>
        <w:t>二是储备优质农资。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根据农资市场动态，</w:t>
      </w:r>
      <w:r>
        <w:rPr>
          <w:rFonts w:hint="eastAsia" w:ascii="仿宋_GB2312" w:hAnsi="仿宋_GB2312" w:eastAsia="仿宋_GB2312" w:cs="仿宋_GB2312"/>
          <w:kern w:val="10"/>
          <w:sz w:val="32"/>
          <w:szCs w:val="32"/>
          <w:highlight w:val="none"/>
        </w:rPr>
        <w:t>县社组织营销队伍深入企业、集镇和田间地头，听取农资经营网点和农民群众的需求意愿、意见建议，摸清农资市场动态，对需求较大的复合肥、二胺、尿素等化肥提前着手，加大采购力度，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满足全县农资需求。</w:t>
      </w:r>
      <w:r>
        <w:rPr>
          <w:rFonts w:hint="eastAsia" w:ascii="仿宋_GB2312" w:eastAsia="仿宋_GB2312" w:cs="Times New Roman"/>
          <w:b/>
          <w:sz w:val="32"/>
          <w:szCs w:val="32"/>
          <w:highlight w:val="none"/>
        </w:rPr>
        <w:t>三是</w:t>
      </w:r>
      <w:r>
        <w:rPr>
          <w:rFonts w:hint="eastAsia" w:ascii="仿宋_GB2312" w:eastAsia="仿宋_GB2312"/>
          <w:b/>
          <w:sz w:val="32"/>
          <w:szCs w:val="32"/>
          <w:highlight w:val="none"/>
        </w:rPr>
        <w:t>规范农资市场</w:t>
      </w:r>
      <w:r>
        <w:rPr>
          <w:rFonts w:hint="eastAsia" w:ascii="仿宋_GB2312" w:eastAsia="仿宋_GB2312" w:cs="Times New Roman"/>
          <w:b/>
          <w:sz w:val="32"/>
          <w:szCs w:val="32"/>
          <w:highlight w:val="none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 xml:space="preserve">我社会同市场监管局对全县15个乡镇农资市场开展“拉网式”专项执法检查2次，重点对种子、农药、肥料、农膜等主要农资产品的经营管理、产品质量等环节进行了仔细检查。共检查种子经营门店15家，农药、化肥门店26家，发放整改通知书9份。通过执法检查，进一步规范了农资经营市场秩序，为农民购买到合格、优质、放心的农业资料提供了保障。 </w:t>
      </w:r>
      <w:r>
        <w:rPr>
          <w:rFonts w:hint="eastAsia" w:ascii="楷体_GB2312" w:eastAsia="楷体_GB2312"/>
          <w:b/>
          <w:sz w:val="32"/>
          <w:szCs w:val="32"/>
          <w:highlight w:val="none"/>
        </w:rPr>
        <w:t>（二）薄弱社升级改造提实力。</w:t>
      </w:r>
      <w:r>
        <w:rPr>
          <w:rFonts w:hint="eastAsia" w:ascii="仿宋_GB2312" w:hAnsi="仿宋_GB2312" w:eastAsia="仿宋_GB2312" w:cs="仿宋_GB2312"/>
          <w:kern w:val="10"/>
          <w:sz w:val="32"/>
          <w:szCs w:val="32"/>
          <w:highlight w:val="none"/>
        </w:rPr>
        <w:t>今年，按照省社综合改革推进年活动要求，县社经过多次实地调研，确定将怀安社改造提升作为今年改革重点</w:t>
      </w:r>
      <w:r>
        <w:rPr>
          <w:rFonts w:hint="eastAsia" w:ascii="仿宋_GB2312" w:hAnsi="仿宋_GB2312" w:eastAsia="仿宋_GB2312" w:cs="仿宋_GB2312"/>
          <w:kern w:val="10"/>
          <w:sz w:val="32"/>
          <w:szCs w:val="32"/>
          <w:highlight w:val="none"/>
          <w:lang w:eastAsia="zh-CN"/>
        </w:rPr>
        <w:t>，由社属企业风堂农资带动共建了农资供应和农产品收购项目，降低了怀安社农资购进成本，拓宽了服务经营范围</w:t>
      </w:r>
      <w:r>
        <w:rPr>
          <w:rFonts w:hint="eastAsia" w:ascii="仿宋_GB2312" w:hAnsi="仿宋_GB2312" w:eastAsia="仿宋_GB2312" w:cs="仿宋_GB2312"/>
          <w:kern w:val="10"/>
          <w:sz w:val="32"/>
          <w:szCs w:val="32"/>
          <w:highlight w:val="none"/>
        </w:rPr>
        <w:t>。</w:t>
      </w:r>
      <w:r>
        <w:rPr>
          <w:rFonts w:hint="eastAsia" w:ascii="仿宋_GB2312" w:hAnsi="仿宋_GB2312" w:eastAsia="仿宋_GB2312" w:cs="仿宋_GB2312"/>
          <w:kern w:val="10"/>
          <w:sz w:val="32"/>
          <w:szCs w:val="32"/>
          <w:highlight w:val="none"/>
          <w:lang w:eastAsia="zh-CN"/>
        </w:rPr>
        <w:t>同时，</w:t>
      </w:r>
      <w:r>
        <w:rPr>
          <w:rFonts w:hint="eastAsia" w:ascii="仿宋_GB2312" w:hAnsi="仿宋_GB2312" w:eastAsia="仿宋_GB2312" w:cs="仿宋_GB2312"/>
          <w:kern w:val="10"/>
          <w:sz w:val="32"/>
          <w:szCs w:val="32"/>
          <w:highlight w:val="none"/>
        </w:rPr>
        <w:t>针对该基层社经营单一、服务功能较弱的情况，采取启动闲置资产、处理不良资产、县社资金补助等多种思路，经合作开发，有效盘活了低效闲置资产，购置办公设备，更新经营设施，激发内生动力，健全完善相关制度，使该基层社成为集收购、销售、便民于一体的标杆社，</w:t>
      </w:r>
      <w:r>
        <w:rPr>
          <w:rFonts w:hint="eastAsia" w:ascii="仿宋_GB2312" w:eastAsia="仿宋_GB2312"/>
          <w:sz w:val="32"/>
          <w:szCs w:val="32"/>
          <w:highlight w:val="none"/>
        </w:rPr>
        <w:t>能够更好的为农民提供便捷、优质的服务</w:t>
      </w:r>
      <w:r>
        <w:rPr>
          <w:rFonts w:hint="eastAsia" w:ascii="仿宋_GB2312" w:hAnsi="仿宋_GB2312" w:eastAsia="仿宋_GB2312" w:cs="仿宋_GB2312"/>
          <w:kern w:val="10"/>
          <w:sz w:val="32"/>
          <w:szCs w:val="32"/>
          <w:highlight w:val="none"/>
        </w:rPr>
        <w:t>。</w:t>
      </w:r>
      <w:r>
        <w:rPr>
          <w:rFonts w:hint="eastAsia" w:ascii="楷体_GB2312" w:eastAsia="楷体_GB2312"/>
          <w:b/>
          <w:sz w:val="32"/>
          <w:szCs w:val="32"/>
          <w:highlight w:val="none"/>
        </w:rPr>
        <w:t>（三）基层组织培育</w:t>
      </w:r>
      <w:r>
        <w:rPr>
          <w:rFonts w:hint="eastAsia" w:ascii="楷体_GB2312" w:eastAsia="楷体_GB2312"/>
          <w:b/>
          <w:sz w:val="32"/>
          <w:szCs w:val="32"/>
          <w:highlight w:val="none"/>
          <w:lang w:eastAsia="zh-CN"/>
        </w:rPr>
        <w:t>壮大</w:t>
      </w:r>
      <w:r>
        <w:rPr>
          <w:rFonts w:hint="eastAsia" w:ascii="楷体_GB2312" w:eastAsia="楷体_GB2312"/>
          <w:b/>
          <w:sz w:val="32"/>
          <w:szCs w:val="32"/>
          <w:highlight w:val="none"/>
        </w:rPr>
        <w:t>夯基础。</w:t>
      </w:r>
      <w:r>
        <w:rPr>
          <w:rFonts w:hint="eastAsia" w:ascii="仿宋_GB2312" w:hAnsi="仿宋_GB2312" w:eastAsia="仿宋_GB2312" w:cs="仿宋_GB2312"/>
          <w:kern w:val="10"/>
          <w:sz w:val="32"/>
          <w:szCs w:val="32"/>
          <w:highlight w:val="none"/>
        </w:rPr>
        <w:t>坚持以“夯实基层组织建设，培育壮大供销合作社”的工作思路，按照“投资主体多元化、改造形式多样化、经营业态现代化、服务内容市场化”的原则，指导基层组织进一步增强经济实力，提升服务功能，满足群众多层次、多元化需求，带动农户发展。</w:t>
      </w:r>
      <w:r>
        <w:rPr>
          <w:rFonts w:hint="eastAsia" w:ascii="仿宋_GB2312" w:hAnsi="仿宋_GB2312" w:eastAsia="仿宋_GB2312" w:cs="仿宋_GB2312"/>
          <w:kern w:val="10"/>
          <w:sz w:val="32"/>
          <w:szCs w:val="32"/>
          <w:highlight w:val="none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kern w:val="10"/>
          <w:sz w:val="32"/>
          <w:szCs w:val="32"/>
          <w:highlight w:val="none"/>
        </w:rPr>
        <w:t>年改造提升村级综合服务社</w:t>
      </w:r>
      <w:r>
        <w:rPr>
          <w:rFonts w:hint="eastAsia" w:ascii="仿宋_GB2312" w:hAnsi="仿宋_GB2312" w:eastAsia="仿宋_GB2312" w:cs="仿宋_GB2312"/>
          <w:kern w:val="10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kern w:val="10"/>
          <w:sz w:val="32"/>
          <w:szCs w:val="32"/>
          <w:highlight w:val="none"/>
        </w:rPr>
        <w:t>个，创建农民专业合作示范社</w:t>
      </w:r>
      <w:r>
        <w:rPr>
          <w:rFonts w:hint="eastAsia" w:ascii="仿宋_GB2312" w:hAnsi="仿宋_GB2312" w:eastAsia="仿宋_GB2312" w:cs="仿宋_GB2312"/>
          <w:kern w:val="10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kern w:val="10"/>
          <w:sz w:val="32"/>
          <w:szCs w:val="32"/>
          <w:highlight w:val="none"/>
        </w:rPr>
        <w:t>个，规范提升生产性为农服务中心</w:t>
      </w:r>
      <w:r>
        <w:rPr>
          <w:rFonts w:hint="eastAsia" w:ascii="仿宋_GB2312" w:hAnsi="仿宋_GB2312" w:eastAsia="仿宋_GB2312" w:cs="仿宋_GB2312"/>
          <w:kern w:val="10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kern w:val="10"/>
          <w:sz w:val="32"/>
          <w:szCs w:val="32"/>
          <w:highlight w:val="none"/>
        </w:rPr>
        <w:t>个、庄稼医院</w:t>
      </w:r>
      <w:r>
        <w:rPr>
          <w:rFonts w:hint="eastAsia" w:ascii="仿宋_GB2312" w:hAnsi="仿宋_GB2312" w:eastAsia="仿宋_GB2312" w:cs="仿宋_GB2312"/>
          <w:kern w:val="1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kern w:val="10"/>
          <w:sz w:val="32"/>
          <w:szCs w:val="32"/>
          <w:highlight w:val="none"/>
        </w:rPr>
        <w:t>个，新增农资配送中心</w:t>
      </w:r>
      <w:r>
        <w:rPr>
          <w:rFonts w:hint="eastAsia" w:ascii="仿宋_GB2312" w:hAnsi="仿宋_GB2312" w:eastAsia="仿宋_GB2312" w:cs="仿宋_GB2312"/>
          <w:kern w:val="10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kern w:val="10"/>
          <w:sz w:val="32"/>
          <w:szCs w:val="32"/>
          <w:highlight w:val="none"/>
        </w:rPr>
        <w:t>个、农资供应中心</w:t>
      </w:r>
      <w:r>
        <w:rPr>
          <w:rFonts w:hint="eastAsia" w:ascii="仿宋_GB2312" w:hAnsi="仿宋_GB2312" w:eastAsia="仿宋_GB2312" w:cs="仿宋_GB2312"/>
          <w:kern w:val="10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kern w:val="10"/>
          <w:sz w:val="32"/>
          <w:szCs w:val="32"/>
          <w:highlight w:val="none"/>
        </w:rPr>
        <w:t>个、农产品收购站</w:t>
      </w:r>
      <w:r>
        <w:rPr>
          <w:rFonts w:hint="eastAsia" w:ascii="仿宋_GB2312" w:hAnsi="仿宋_GB2312" w:eastAsia="仿宋_GB2312" w:cs="仿宋_GB2312"/>
          <w:kern w:val="1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kern w:val="10"/>
          <w:sz w:val="32"/>
          <w:szCs w:val="32"/>
          <w:highlight w:val="none"/>
        </w:rPr>
        <w:t>个。</w:t>
      </w:r>
      <w:r>
        <w:rPr>
          <w:rFonts w:hint="eastAsia" w:ascii="楷体_GB2312" w:eastAsia="楷体_GB2312"/>
          <w:b/>
          <w:sz w:val="32"/>
          <w:szCs w:val="32"/>
          <w:highlight w:val="none"/>
        </w:rPr>
        <w:t>（四）供销便民服务</w:t>
      </w:r>
      <w:r>
        <w:rPr>
          <w:rFonts w:hint="eastAsia" w:ascii="楷体_GB2312" w:eastAsia="楷体_GB2312"/>
          <w:b/>
          <w:sz w:val="32"/>
          <w:szCs w:val="32"/>
          <w:highlight w:val="none"/>
          <w:lang w:eastAsia="zh-CN"/>
        </w:rPr>
        <w:t>建设</w:t>
      </w:r>
      <w:r>
        <w:rPr>
          <w:rFonts w:hint="eastAsia" w:ascii="楷体_GB2312" w:eastAsia="楷体_GB2312"/>
          <w:b/>
          <w:sz w:val="32"/>
          <w:szCs w:val="32"/>
          <w:highlight w:val="none"/>
        </w:rPr>
        <w:t>强功能。</w:t>
      </w:r>
      <w:r>
        <w:rPr>
          <w:rFonts w:hint="eastAsia" w:ascii="仿宋_GB2312" w:hAnsi="仿宋_GB2312" w:eastAsia="仿宋_GB2312" w:cs="仿宋_GB2312"/>
          <w:kern w:val="10"/>
          <w:sz w:val="32"/>
          <w:szCs w:val="32"/>
          <w:highlight w:val="none"/>
        </w:rPr>
        <w:t>按照市社安排，</w:t>
      </w:r>
      <w:r>
        <w:rPr>
          <w:rFonts w:hint="eastAsia" w:ascii="仿宋_GB2312" w:hAnsi="仿宋_GB2312" w:eastAsia="仿宋_GB2312" w:cs="仿宋_GB2312"/>
          <w:kern w:val="10"/>
          <w:sz w:val="32"/>
          <w:szCs w:val="32"/>
          <w:highlight w:val="none"/>
          <w:lang w:eastAsia="zh-CN"/>
        </w:rPr>
        <w:t>县供销社</w:t>
      </w:r>
      <w:r>
        <w:rPr>
          <w:rFonts w:hint="eastAsia" w:ascii="仿宋_GB2312" w:hAnsi="仿宋_GB2312" w:eastAsia="仿宋_GB2312" w:cs="仿宋_GB2312"/>
          <w:kern w:val="10"/>
          <w:sz w:val="32"/>
          <w:szCs w:val="32"/>
          <w:highlight w:val="none"/>
        </w:rPr>
        <w:t>以“服务三农”为宗旨，以“开放办社”为前提，在吸纳合作上做文章，采取“共同出资，共享品牌”的办法，在全县新建6个“供销便民店”和1个“供销便民服务中心”，利用龙头企业的资金优势、人才优势、服务优势，有力保障了便民店的健康持续发展。同时，将供销服务理念融入便民店的日常经营中，进一步宣传供销品牌，扩大供销服务“三农”的影响力。</w:t>
      </w:r>
      <w:r>
        <w:rPr>
          <w:rFonts w:hint="eastAsia" w:ascii="楷体_GB2312" w:eastAsia="楷体_GB2312"/>
          <w:b/>
          <w:sz w:val="32"/>
          <w:szCs w:val="32"/>
          <w:highlight w:val="none"/>
        </w:rPr>
        <w:t>（五）再生资源</w:t>
      </w:r>
      <w:r>
        <w:rPr>
          <w:rFonts w:hint="eastAsia" w:ascii="楷体_GB2312" w:eastAsia="楷体_GB2312"/>
          <w:b/>
          <w:sz w:val="32"/>
          <w:szCs w:val="32"/>
          <w:highlight w:val="none"/>
          <w:lang w:eastAsia="zh-CN"/>
        </w:rPr>
        <w:t>回收</w:t>
      </w:r>
      <w:r>
        <w:rPr>
          <w:rFonts w:hint="eastAsia" w:ascii="楷体_GB2312" w:eastAsia="楷体_GB2312"/>
          <w:b/>
          <w:sz w:val="32"/>
          <w:szCs w:val="32"/>
          <w:highlight w:val="none"/>
        </w:rPr>
        <w:t>利用增服务。</w:t>
      </w:r>
      <w:r>
        <w:rPr>
          <w:rFonts w:hint="eastAsia" w:ascii="仿宋_GB2312" w:hAnsi="仿宋_GB2312" w:eastAsia="仿宋_GB2312" w:cs="仿宋_GB2312"/>
          <w:kern w:val="10"/>
          <w:sz w:val="32"/>
          <w:szCs w:val="32"/>
          <w:highlight w:val="none"/>
        </w:rPr>
        <w:t>充分利用供销系统再生资源网络，采取固定站点收购、巡回收购、电话预约、地膜以旧换新等多种收购方式，以村、组回收站点为基础，乡镇分拣中心为支撑，指导社属企业参与农村生活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垃圾回收利用和农业农村生产废弃物资源化利用，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使其</w:t>
      </w:r>
      <w:r>
        <w:rPr>
          <w:rFonts w:hint="eastAsia" w:ascii="仿宋_GB2312" w:hAnsi="仿宋_GB2312" w:eastAsia="仿宋_GB2312" w:cs="仿宋_GB2312"/>
          <w:kern w:val="10"/>
          <w:sz w:val="32"/>
          <w:szCs w:val="32"/>
          <w:highlight w:val="none"/>
        </w:rPr>
        <w:t>由“废品买卖型”向“环境服务型”转型升级，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有效带动我县再生资源利用行业的发展，在实施乡村振兴战略中发挥了积极作用。</w:t>
      </w:r>
      <w:r>
        <w:rPr>
          <w:rFonts w:hint="eastAsia" w:ascii="楷体_GB2312" w:eastAsia="楷体_GB2312"/>
          <w:b/>
          <w:sz w:val="32"/>
          <w:szCs w:val="32"/>
          <w:highlight w:val="none"/>
        </w:rPr>
        <w:t>（六）电子商务</w:t>
      </w:r>
      <w:r>
        <w:rPr>
          <w:rFonts w:hint="eastAsia" w:ascii="楷体_GB2312" w:eastAsia="楷体_GB2312"/>
          <w:b/>
          <w:sz w:val="32"/>
          <w:szCs w:val="32"/>
          <w:highlight w:val="none"/>
          <w:lang w:eastAsia="zh-CN"/>
        </w:rPr>
        <w:t>纵深推进</w:t>
      </w:r>
      <w:r>
        <w:rPr>
          <w:rFonts w:hint="eastAsia" w:ascii="楷体_GB2312" w:eastAsia="楷体_GB2312"/>
          <w:b/>
          <w:sz w:val="32"/>
          <w:szCs w:val="32"/>
          <w:highlight w:val="none"/>
        </w:rPr>
        <w:t>促发展。</w:t>
      </w:r>
      <w:r>
        <w:rPr>
          <w:rFonts w:hint="eastAsia" w:ascii="仿宋_GB2312" w:hAnsi="仿宋_GB2312" w:eastAsia="仿宋_GB2312" w:cs="仿宋_GB2312"/>
          <w:kern w:val="10"/>
          <w:sz w:val="32"/>
          <w:szCs w:val="32"/>
          <w:highlight w:val="none"/>
        </w:rPr>
        <w:t>积极发挥供销合作流通网络优势，加快发展农村电子商务建设，组建具有交易、金融、信息和技术服务等多功能于一体的电子商务平台，最大范围的吸纳村级综合服务社、农民专业合作社，积极与农业产业化龙头企业对接，形成网上供销是一家，网下区块共发展的格局。目前，规范提升电子商务站</w:t>
      </w:r>
      <w:r>
        <w:rPr>
          <w:rFonts w:hint="eastAsia" w:ascii="仿宋_GB2312" w:hAnsi="仿宋_GB2312" w:eastAsia="仿宋_GB2312" w:cs="仿宋_GB2312"/>
          <w:kern w:val="10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kern w:val="10"/>
          <w:sz w:val="32"/>
          <w:szCs w:val="32"/>
          <w:highlight w:val="none"/>
        </w:rPr>
        <w:t>个、村级电子商务终端</w:t>
      </w:r>
      <w:r>
        <w:rPr>
          <w:rFonts w:hint="eastAsia" w:ascii="仿宋_GB2312" w:hAnsi="仿宋_GB2312" w:eastAsia="仿宋_GB2312" w:cs="仿宋_GB2312"/>
          <w:kern w:val="10"/>
          <w:sz w:val="32"/>
          <w:szCs w:val="32"/>
          <w:highlight w:val="none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kern w:val="10"/>
          <w:sz w:val="32"/>
          <w:szCs w:val="32"/>
          <w:highlight w:val="none"/>
        </w:rPr>
        <w:t>个。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 w:val="0"/>
          <w:color w:val="000000" w:themeColor="text1"/>
          <w:spacing w:val="0"/>
          <w:kern w:val="2"/>
          <w:sz w:val="32"/>
          <w:szCs w:val="32"/>
          <w:shd w:val="clear" w:color="auto" w:fill="FFFFFF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/>
          <w:bCs w:val="0"/>
          <w:color w:val="000000" w:themeColor="text1"/>
          <w:spacing w:val="0"/>
          <w:kern w:val="2"/>
          <w:sz w:val="32"/>
          <w:szCs w:val="32"/>
          <w:shd w:val="clear" w:color="auto" w:fill="FFFFFF"/>
          <w:lang w:val="en-US" w:eastAsia="zh-CN" w:bidi="ar-SA"/>
          <w14:textFill>
            <w14:solidFill>
              <w14:schemeClr w14:val="tx1"/>
            </w14:solidFill>
          </w14:textFill>
        </w:rPr>
        <w:t>（二）厦职效果情况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从社会效益来看，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切实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推进了供销综合改革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，</w:t>
      </w:r>
      <w:r>
        <w:rPr>
          <w:rFonts w:hint="eastAsia" w:ascii="仿宋_GB2312" w:eastAsia="仿宋_GB2312"/>
          <w:sz w:val="34"/>
          <w:szCs w:val="34"/>
          <w:lang w:eastAsia="zh-CN"/>
        </w:rPr>
        <w:t>拓展农产品收购业务，全面提升基层社为农服务能力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 w:val="0"/>
          <w:color w:val="000000" w:themeColor="text1"/>
          <w:spacing w:val="0"/>
          <w:kern w:val="2"/>
          <w:sz w:val="32"/>
          <w:szCs w:val="32"/>
          <w:shd w:val="clear" w:color="auto" w:fill="FFFFFF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/>
          <w:bCs w:val="0"/>
          <w:color w:val="000000" w:themeColor="text1"/>
          <w:spacing w:val="0"/>
          <w:kern w:val="2"/>
          <w:sz w:val="32"/>
          <w:szCs w:val="32"/>
          <w:shd w:val="clear" w:color="auto" w:fill="FFFFFF"/>
          <w:lang w:val="en-US" w:eastAsia="zh-CN" w:bidi="ar-SA"/>
          <w14:textFill>
            <w14:solidFill>
              <w14:schemeClr w14:val="tx1"/>
            </w14:solidFill>
          </w14:textFill>
        </w:rPr>
        <w:t>(三)社会满意度及可持续性影响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92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color="auto" w:fill="auto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社会公众</w:t>
      </w:r>
      <w:r>
        <w:rPr>
          <w:rFonts w:hint="eastAsia" w:ascii="仿宋_GB2312" w:hAnsi="仿宋_GB2312" w:eastAsia="仿宋_GB2312" w:cs="仿宋_GB2312"/>
          <w:sz w:val="32"/>
          <w:szCs w:val="32"/>
        </w:rPr>
        <w:t>满意度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98</w:t>
      </w:r>
      <w:r>
        <w:rPr>
          <w:rFonts w:hint="eastAsia" w:ascii="仿宋_GB2312" w:hAnsi="仿宋_GB2312" w:eastAsia="仿宋_GB2312" w:cs="仿宋_GB2312"/>
          <w:sz w:val="32"/>
          <w:szCs w:val="32"/>
        </w:rPr>
        <w:t>%，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职工</w:t>
      </w:r>
      <w:r>
        <w:rPr>
          <w:rFonts w:hint="eastAsia" w:ascii="仿宋_GB2312" w:hAnsi="仿宋_GB2312" w:eastAsia="仿宋_GB2312" w:cs="仿宋_GB2312"/>
          <w:sz w:val="32"/>
          <w:szCs w:val="32"/>
        </w:rPr>
        <w:t>满意度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98</w:t>
      </w:r>
      <w:r>
        <w:rPr>
          <w:rFonts w:hint="eastAsia" w:ascii="仿宋_GB2312" w:hAnsi="仿宋_GB2312" w:eastAsia="仿宋_GB2312" w:cs="仿宋_GB2312"/>
          <w:sz w:val="32"/>
          <w:szCs w:val="32"/>
        </w:rPr>
        <w:t>%，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供销综合改革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持续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推进，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农资供应、基层社建设、再生资源回收利用、农村电商</w:t>
      </w:r>
      <w:r>
        <w:rPr>
          <w:rFonts w:hint="eastAsia" w:ascii="仿宋_GB2312" w:hAnsi="仿宋_GB2312" w:eastAsia="仿宋_GB2312" w:cs="仿宋_GB2312"/>
          <w:sz w:val="32"/>
          <w:szCs w:val="32"/>
        </w:rPr>
        <w:t>等各项工作都取得了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显著提升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color="auto" w:fill="auto"/>
          <w:lang w:eastAsia="zh-CN"/>
        </w:rPr>
        <w:t>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92" w:firstLineChars="200"/>
        <w:textAlignment w:val="auto"/>
        <w:rPr>
          <w:rFonts w:hint="eastAsia" w:ascii="黑体" w:hAnsi="黑体" w:eastAsia="黑体" w:cs="黑体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32"/>
          <w:szCs w:val="32"/>
        </w:rPr>
        <w:t>三、部门整体支出绩效中存在问题及改进措施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 w:val="0"/>
          <w:color w:val="000000" w:themeColor="text1"/>
          <w:spacing w:val="0"/>
          <w:kern w:val="2"/>
          <w:sz w:val="32"/>
          <w:szCs w:val="32"/>
          <w:shd w:val="clear" w:color="auto" w:fill="FFFFFF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/>
          <w:bCs w:val="0"/>
          <w:color w:val="000000" w:themeColor="text1"/>
          <w:spacing w:val="0"/>
          <w:kern w:val="2"/>
          <w:sz w:val="32"/>
          <w:szCs w:val="32"/>
          <w:shd w:val="clear" w:color="auto" w:fill="FFFFFF"/>
          <w:lang w:val="en-US" w:eastAsia="zh-CN" w:bidi="ar-SA"/>
          <w14:textFill>
            <w14:solidFill>
              <w14:schemeClr w14:val="tx1"/>
            </w14:solidFill>
          </w14:textFill>
        </w:rPr>
        <w:t>（一）主要问题及原因分析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1.预算绩效指标体系存在进一步完善的空间，我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现建立的各项预算绩效目标指标仍有不科学、不细致的地方，影响了预算绩效评价的结果。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2.预算绩效管理经验需要进一步积累。因为预算绩效管理工作具有政策性强、专业性强、涉及面广、操作难度大等特点，经验不足，导致工作多走许多弯路，影响工作效果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 w:val="0"/>
          <w:color w:val="000000" w:themeColor="text1"/>
          <w:spacing w:val="0"/>
          <w:kern w:val="2"/>
          <w:sz w:val="32"/>
          <w:szCs w:val="32"/>
          <w:shd w:val="clear" w:color="auto" w:fill="FFFFFF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/>
          <w:bCs w:val="0"/>
          <w:color w:val="000000" w:themeColor="text1"/>
          <w:spacing w:val="0"/>
          <w:kern w:val="2"/>
          <w:sz w:val="32"/>
          <w:szCs w:val="32"/>
          <w:shd w:val="clear" w:color="auto" w:fill="FFFFFF"/>
          <w:lang w:val="en-US" w:eastAsia="zh-CN" w:bidi="ar-SA"/>
          <w14:textFill>
            <w14:solidFill>
              <w14:schemeClr w14:val="tx1"/>
            </w14:solidFill>
          </w14:textFill>
        </w:rPr>
        <w:t>(二)改进的方向和具体措施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1.优化预算。对各项支出进行合理分配。同时，对于超出预算的支出要及时进行调整和纠正。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2.缩减采购。加强设备的爱护、维修、维护，降低设备更换率，贯彻落实过紧日子的思想。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3.简化管理流程，提高管理效能。对各项管理表格进行整合，避免重复。有网络管理平台的就利用好平台，凡是平台已经覆盖的管理事项，不在另外增设资料。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>四、绩效自评结果拟应用和公开情况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 w:val="0"/>
          <w:color w:val="000000" w:themeColor="text1"/>
          <w:spacing w:val="0"/>
          <w:kern w:val="2"/>
          <w:sz w:val="32"/>
          <w:szCs w:val="32"/>
          <w:shd w:val="clear" w:color="auto" w:fill="FFFFFF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/>
          <w:bCs w:val="0"/>
          <w:color w:val="000000" w:themeColor="text1"/>
          <w:spacing w:val="0"/>
          <w:kern w:val="2"/>
          <w:sz w:val="32"/>
          <w:szCs w:val="32"/>
          <w:shd w:val="clear" w:color="auto" w:fill="FFFFFF"/>
          <w:lang w:val="en-US" w:eastAsia="zh-CN" w:bidi="ar-SA"/>
          <w14:textFill>
            <w14:solidFill>
              <w14:schemeClr w14:val="tx1"/>
            </w14:solidFill>
          </w14:textFill>
        </w:rPr>
        <w:t>(一)绩效自评结果拟应用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根据预算绩效管理要求，本部门于20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年末，对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本单位202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年支出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开展了绩效自评，涉及资金</w:t>
      </w:r>
      <w:r>
        <w:rPr>
          <w:rFonts w:ascii="仿宋_GB2312" w:eastAsia="仿宋_GB2312" w:cs="仿宋_GB2312"/>
          <w:sz w:val="32"/>
          <w:szCs w:val="32"/>
          <w:highlight w:val="none"/>
          <w:lang w:bidi="zh-HK"/>
        </w:rPr>
        <w:t>131.03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，占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总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支出的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100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%。自评结果为“优”。</w:t>
      </w:r>
      <w:r>
        <w:rPr>
          <w:rFonts w:hint="eastAsia" w:ascii="仿宋_GB2312" w:hAnsi="仿宋_GB2312" w:eastAsia="仿宋_GB2312" w:cs="仿宋_GB2312"/>
          <w:sz w:val="32"/>
          <w:szCs w:val="32"/>
        </w:rPr>
        <w:t>通过绩效自评，进一步掌握了资金使用情况和取得的效果，发现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了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工作中存在的问题和不足，为今后加强资金使用管理、完善资金绩效管理、提高资金使用效益工作提供了重要的参考依据。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 w:val="0"/>
          <w:color w:val="000000" w:themeColor="text1"/>
          <w:spacing w:val="0"/>
          <w:kern w:val="2"/>
          <w:sz w:val="32"/>
          <w:szCs w:val="32"/>
          <w:shd w:val="clear" w:color="auto" w:fill="FFFFFF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/>
          <w:bCs w:val="0"/>
          <w:color w:val="000000" w:themeColor="text1"/>
          <w:spacing w:val="0"/>
          <w:kern w:val="2"/>
          <w:sz w:val="32"/>
          <w:szCs w:val="32"/>
          <w:shd w:val="clear" w:color="auto" w:fill="FFFFFF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(二)绩效自评结果公开情况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将此次绩效自评报告在政府门户网站上予以公布，向社会公开，广泛接受群众监督。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88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附件：华池县供销社部门（单位）整体支出绩效目标自评表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before="0" w:after="0" w:line="580" w:lineRule="exact"/>
        <w:ind w:firstLine="880" w:firstLineChars="200"/>
        <w:jc w:val="both"/>
        <w:textAlignment w:val="auto"/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80" w:lineRule="exact"/>
        <w:ind w:left="5267" w:leftChars="2508" w:firstLine="880" w:firstLineChars="200"/>
        <w:textAlignment w:val="auto"/>
        <w:rPr>
          <w:rFonts w:hint="eastAsia" w:ascii="仿宋_GB2312" w:hAnsi="新宋体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  <w:t xml:space="preserve">                 </w:t>
      </w:r>
      <w:r>
        <w:rPr>
          <w:rFonts w:hint="eastAsia" w:ascii="仿宋_GB2312" w:hAnsi="新宋体" w:eastAsia="仿宋_GB2312"/>
          <w:color w:val="auto"/>
          <w:sz w:val="32"/>
          <w:szCs w:val="32"/>
        </w:rPr>
        <w:t>华池县</w:t>
      </w:r>
      <w:r>
        <w:rPr>
          <w:rFonts w:hint="eastAsia" w:ascii="仿宋_GB2312" w:hAnsi="新宋体" w:eastAsia="仿宋_GB2312"/>
          <w:color w:val="auto"/>
          <w:sz w:val="32"/>
          <w:szCs w:val="32"/>
          <w:lang w:eastAsia="zh-CN"/>
        </w:rPr>
        <w:t>供销社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80" w:lineRule="exact"/>
        <w:ind w:firstLine="5040" w:firstLineChars="1800"/>
        <w:textAlignment w:val="auto"/>
        <w:rPr>
          <w:rFonts w:hint="default" w:ascii="仿宋_GB2312" w:hAnsi="新宋体" w:eastAsia="仿宋_GB2312"/>
          <w:color w:val="auto"/>
          <w:spacing w:val="-20"/>
          <w:sz w:val="32"/>
          <w:szCs w:val="32"/>
          <w:lang w:val="en-US" w:eastAsia="zh-CN"/>
        </w:rPr>
      </w:pPr>
      <w:r>
        <w:rPr>
          <w:rFonts w:hint="eastAsia" w:ascii="仿宋_GB2312" w:hAnsi="新宋体" w:eastAsia="仿宋_GB2312"/>
          <w:color w:val="auto"/>
          <w:spacing w:val="-20"/>
          <w:sz w:val="32"/>
          <w:szCs w:val="32"/>
        </w:rPr>
        <w:t>20</w:t>
      </w:r>
      <w:r>
        <w:rPr>
          <w:rFonts w:hint="eastAsia" w:ascii="仿宋_GB2312" w:hAnsi="新宋体" w:eastAsia="仿宋_GB2312"/>
          <w:color w:val="auto"/>
          <w:spacing w:val="-20"/>
          <w:sz w:val="32"/>
          <w:szCs w:val="32"/>
          <w:lang w:val="en-US" w:eastAsia="zh-CN"/>
        </w:rPr>
        <w:t xml:space="preserve">24 </w:t>
      </w:r>
      <w:r>
        <w:rPr>
          <w:rFonts w:hint="eastAsia" w:ascii="仿宋_GB2312" w:hAnsi="新宋体" w:eastAsia="仿宋_GB2312"/>
          <w:color w:val="auto"/>
          <w:spacing w:val="-20"/>
          <w:sz w:val="32"/>
          <w:szCs w:val="32"/>
        </w:rPr>
        <w:t>年</w:t>
      </w:r>
      <w:r>
        <w:rPr>
          <w:rFonts w:hint="eastAsia" w:ascii="仿宋_GB2312" w:hAnsi="新宋体" w:eastAsia="仿宋_GB2312"/>
          <w:color w:val="auto"/>
          <w:spacing w:val="-20"/>
          <w:sz w:val="32"/>
          <w:szCs w:val="32"/>
          <w:lang w:val="en-US" w:eastAsia="zh-CN"/>
        </w:rPr>
        <w:t xml:space="preserve"> 5</w:t>
      </w:r>
      <w:bookmarkStart w:id="0" w:name="_GoBack"/>
      <w:bookmarkEnd w:id="0"/>
      <w:r>
        <w:rPr>
          <w:rFonts w:hint="eastAsia" w:ascii="仿宋_GB2312" w:hAnsi="新宋体" w:eastAsia="仿宋_GB2312"/>
          <w:color w:val="auto"/>
          <w:spacing w:val="-20"/>
          <w:sz w:val="32"/>
          <w:szCs w:val="32"/>
        </w:rPr>
        <w:t>月</w:t>
      </w:r>
      <w:r>
        <w:rPr>
          <w:rFonts w:hint="eastAsia" w:ascii="仿宋_GB2312" w:hAnsi="新宋体" w:eastAsia="仿宋_GB2312"/>
          <w:color w:val="auto"/>
          <w:spacing w:val="-20"/>
          <w:sz w:val="32"/>
          <w:szCs w:val="32"/>
          <w:lang w:val="en-US" w:eastAsia="zh-CN"/>
        </w:rPr>
        <w:t xml:space="preserve"> 14</w:t>
      </w:r>
      <w:r>
        <w:rPr>
          <w:rFonts w:hint="eastAsia" w:ascii="仿宋_GB2312" w:hAnsi="新宋体" w:eastAsia="仿宋_GB2312"/>
          <w:color w:val="auto"/>
          <w:spacing w:val="-20"/>
          <w:sz w:val="32"/>
          <w:szCs w:val="32"/>
        </w:rPr>
        <w:t>日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U0MzQ1NjQyMzA4YTAyMjU3MTIzZDMxODUzMGNjY2UifQ=="/>
  </w:docVars>
  <w:rsids>
    <w:rsidRoot w:val="00000000"/>
    <w:rsid w:val="04B53890"/>
    <w:rsid w:val="06222576"/>
    <w:rsid w:val="07AE2645"/>
    <w:rsid w:val="12760D4F"/>
    <w:rsid w:val="15004819"/>
    <w:rsid w:val="237F295E"/>
    <w:rsid w:val="24945047"/>
    <w:rsid w:val="26065899"/>
    <w:rsid w:val="2C007BE1"/>
    <w:rsid w:val="306D3BAB"/>
    <w:rsid w:val="3088647C"/>
    <w:rsid w:val="4DF60D27"/>
    <w:rsid w:val="515A3EFB"/>
    <w:rsid w:val="5BE050BB"/>
    <w:rsid w:val="603A0CFB"/>
    <w:rsid w:val="65842EE1"/>
    <w:rsid w:val="6B4E611A"/>
    <w:rsid w:val="71377EA3"/>
    <w:rsid w:val="76674885"/>
    <w:rsid w:val="7D4F6073"/>
    <w:rsid w:val="7D4F758F"/>
    <w:rsid w:val="7F6B3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qFormat="1"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2"/>
    <w:basedOn w:val="1"/>
    <w:next w:val="1"/>
    <w:autoRedefine/>
    <w:qFormat/>
    <w:uiPriority w:val="0"/>
    <w:pPr>
      <w:spacing w:line="600" w:lineRule="exact"/>
      <w:ind w:firstLine="586" w:firstLineChars="198"/>
    </w:pPr>
    <w:rPr>
      <w:rFonts w:ascii="黑体" w:eastAsia="黑体"/>
      <w:spacing w:val="-12"/>
      <w:sz w:val="32"/>
    </w:rPr>
  </w:style>
  <w:style w:type="paragraph" w:styleId="4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index 7"/>
    <w:basedOn w:val="1"/>
    <w:next w:val="1"/>
    <w:autoRedefine/>
    <w:qFormat/>
    <w:uiPriority w:val="0"/>
    <w:pPr>
      <w:ind w:left="2520"/>
    </w:pPr>
  </w:style>
  <w:style w:type="paragraph" w:styleId="6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7">
    <w:name w:val="Title"/>
    <w:basedOn w:val="1"/>
    <w:next w:val="1"/>
    <w:autoRedefine/>
    <w:qFormat/>
    <w:uiPriority w:val="0"/>
    <w:pPr>
      <w:spacing w:before="240" w:after="60"/>
      <w:jc w:val="center"/>
    </w:pPr>
    <w:rPr>
      <w:rFonts w:ascii="Arial" w:hAnsi="Arial" w:cs="Arial"/>
      <w:b/>
      <w:bCs/>
      <w:sz w:val="32"/>
      <w:szCs w:val="32"/>
    </w:rPr>
  </w:style>
  <w:style w:type="character" w:styleId="10">
    <w:name w:val="Strong"/>
    <w:basedOn w:val="9"/>
    <w:autoRedefine/>
    <w:qFormat/>
    <w:uiPriority w:val="0"/>
    <w:rPr>
      <w:b/>
    </w:rPr>
  </w:style>
  <w:style w:type="paragraph" w:styleId="11">
    <w:name w:val="No Spacing"/>
    <w:autoRedefine/>
    <w:qFormat/>
    <w:uiPriority w:val="1"/>
    <w:pPr>
      <w:adjustRightInd w:val="0"/>
      <w:snapToGrid w:val="0"/>
    </w:pPr>
    <w:rPr>
      <w:rFonts w:ascii="Tahoma" w:hAnsi="Tahoma" w:eastAsia="微软雅黑" w:cs="Times New Roman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2024-05-07T07:04:00Z</dcterms:created>
  <dc:creator>Administrator</dc:creator>
  <cp:lastModifiedBy>和</cp:lastModifiedBy>
  <cp:lastPrinted>2024-05-15T09:00:00Z</cp:lastPrinted>
  <dcterms:modified xsi:type="dcterms:W3CDTF">2024-05-17T02:27:05Z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6C7BA4EAF1F04B65AE660CD44E894876_12</vt:lpwstr>
  </property>
</Properties>
</file>