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idowControl/>
        <w:kinsoku/>
        <w:wordWrap/>
        <w:overflowPunct/>
        <w:topLinePunct w:val="0"/>
        <w:autoSpaceDE/>
        <w:autoSpaceDN/>
        <w:bidi w:val="0"/>
        <w:adjustRightInd/>
        <w:snapToGrid/>
        <w:spacing w:before="100" w:beforeLines="0" w:after="100" w:afterLines="0"/>
        <w:ind w:firstLine="480" w:firstLineChars="200"/>
        <w:jc w:val="center"/>
        <w:textAlignment w:val="auto"/>
        <w:rPr>
          <w:rFonts w:hint="eastAsia" w:ascii="宋体" w:hAnsi="宋体"/>
          <w:color w:val="auto"/>
          <w:sz w:val="24"/>
          <w:szCs w:val="24"/>
          <w:lang w:val="zh-CN"/>
        </w:rPr>
      </w:pPr>
      <w:bookmarkStart w:id="0" w:name="_GoBack"/>
    </w:p>
    <w:p>
      <w:pPr>
        <w:pageBreakBefore w:val="0"/>
        <w:widowControl/>
        <w:kinsoku/>
        <w:wordWrap/>
        <w:overflowPunct/>
        <w:topLinePunct w:val="0"/>
        <w:autoSpaceDE/>
        <w:autoSpaceDN/>
        <w:bidi w:val="0"/>
        <w:adjustRightInd/>
        <w:snapToGrid/>
        <w:spacing w:before="100" w:beforeLines="0" w:after="100" w:afterLines="0"/>
        <w:ind w:firstLine="480" w:firstLineChars="200"/>
        <w:jc w:val="center"/>
        <w:textAlignment w:val="auto"/>
        <w:rPr>
          <w:rFonts w:hint="eastAsia" w:ascii="宋体" w:hAnsi="宋体"/>
          <w:color w:val="auto"/>
          <w:sz w:val="24"/>
          <w:szCs w:val="24"/>
          <w:lang w:val="zh-CN"/>
        </w:rPr>
      </w:pPr>
    </w:p>
    <w:p>
      <w:pPr>
        <w:pageBreakBefore w:val="0"/>
        <w:widowControl/>
        <w:kinsoku/>
        <w:wordWrap/>
        <w:overflowPunct/>
        <w:topLinePunct w:val="0"/>
        <w:autoSpaceDE/>
        <w:autoSpaceDN/>
        <w:bidi w:val="0"/>
        <w:adjustRightInd/>
        <w:snapToGrid/>
        <w:spacing w:before="100" w:beforeLines="0" w:after="100" w:afterLines="0"/>
        <w:ind w:firstLine="480" w:firstLineChars="200"/>
        <w:jc w:val="center"/>
        <w:textAlignment w:val="auto"/>
        <w:rPr>
          <w:rFonts w:hint="eastAsia" w:ascii="宋体" w:hAnsi="宋体"/>
          <w:color w:val="auto"/>
          <w:sz w:val="24"/>
          <w:szCs w:val="24"/>
          <w:lang w:val="zh-CN"/>
        </w:rPr>
      </w:pPr>
    </w:p>
    <w:p>
      <w:pPr>
        <w:pageBreakBefore w:val="0"/>
        <w:widowControl/>
        <w:kinsoku/>
        <w:wordWrap/>
        <w:overflowPunct/>
        <w:topLinePunct w:val="0"/>
        <w:autoSpaceDE/>
        <w:autoSpaceDN/>
        <w:bidi w:val="0"/>
        <w:adjustRightInd/>
        <w:snapToGrid/>
        <w:spacing w:before="100" w:beforeLines="0" w:after="100" w:afterLines="0"/>
        <w:ind w:firstLine="480" w:firstLineChars="200"/>
        <w:jc w:val="center"/>
        <w:textAlignment w:val="auto"/>
        <w:rPr>
          <w:rFonts w:hint="eastAsia" w:ascii="宋体" w:hAnsi="宋体"/>
          <w:color w:val="auto"/>
          <w:sz w:val="24"/>
          <w:szCs w:val="24"/>
          <w:lang w:val="zh-CN"/>
        </w:rPr>
      </w:pPr>
    </w:p>
    <w:p>
      <w:pPr>
        <w:pageBreakBefore w:val="0"/>
        <w:widowControl/>
        <w:kinsoku/>
        <w:wordWrap/>
        <w:overflowPunct/>
        <w:topLinePunct w:val="0"/>
        <w:autoSpaceDE/>
        <w:autoSpaceDN/>
        <w:bidi w:val="0"/>
        <w:adjustRightInd/>
        <w:snapToGrid/>
        <w:spacing w:before="100" w:beforeLines="0" w:after="100" w:afterLines="0"/>
        <w:ind w:firstLine="480" w:firstLineChars="200"/>
        <w:jc w:val="center"/>
        <w:textAlignment w:val="auto"/>
        <w:rPr>
          <w:rFonts w:hint="eastAsia" w:ascii="宋体" w:hAnsi="宋体"/>
          <w:color w:val="auto"/>
          <w:sz w:val="24"/>
          <w:szCs w:val="24"/>
          <w:lang w:val="zh-CN"/>
        </w:rPr>
      </w:pPr>
    </w:p>
    <w:p>
      <w:pPr>
        <w:pageBreakBefore w:val="0"/>
        <w:widowControl/>
        <w:kinsoku/>
        <w:wordWrap/>
        <w:overflowPunct/>
        <w:topLinePunct w:val="0"/>
        <w:autoSpaceDE/>
        <w:autoSpaceDN/>
        <w:bidi w:val="0"/>
        <w:adjustRightInd/>
        <w:snapToGrid/>
        <w:spacing w:before="100" w:beforeLines="0" w:after="100" w:afterLines="0"/>
        <w:ind w:firstLine="480" w:firstLineChars="200"/>
        <w:jc w:val="center"/>
        <w:textAlignment w:val="auto"/>
        <w:rPr>
          <w:rFonts w:hint="eastAsia" w:ascii="宋体" w:hAnsi="宋体"/>
          <w:color w:val="auto"/>
          <w:sz w:val="24"/>
          <w:szCs w:val="24"/>
          <w:lang w:val="zh-CN"/>
        </w:rPr>
      </w:pPr>
    </w:p>
    <w:p>
      <w:pPr>
        <w:pageBreakBefore w:val="0"/>
        <w:widowControl/>
        <w:kinsoku/>
        <w:wordWrap/>
        <w:overflowPunct/>
        <w:topLinePunct w:val="0"/>
        <w:autoSpaceDE/>
        <w:autoSpaceDN/>
        <w:bidi w:val="0"/>
        <w:adjustRightInd/>
        <w:snapToGrid/>
        <w:spacing w:before="100" w:beforeLines="0" w:after="100" w:afterLines="0"/>
        <w:ind w:firstLine="480" w:firstLineChars="200"/>
        <w:jc w:val="center"/>
        <w:textAlignment w:val="auto"/>
        <w:rPr>
          <w:rFonts w:hint="eastAsia" w:ascii="宋体" w:hAnsi="宋体"/>
          <w:color w:val="auto"/>
          <w:sz w:val="24"/>
          <w:szCs w:val="24"/>
          <w:lang w:val="zh-CN"/>
        </w:rPr>
      </w:pPr>
    </w:p>
    <w:p>
      <w:pPr>
        <w:pageBreakBefore w:val="0"/>
        <w:widowControl/>
        <w:kinsoku/>
        <w:wordWrap/>
        <w:overflowPunct/>
        <w:topLinePunct w:val="0"/>
        <w:autoSpaceDE/>
        <w:autoSpaceDN/>
        <w:bidi w:val="0"/>
        <w:adjustRightInd/>
        <w:snapToGrid/>
        <w:spacing w:before="100" w:beforeLines="0" w:after="100" w:afterLines="0"/>
        <w:ind w:firstLine="480" w:firstLineChars="200"/>
        <w:jc w:val="center"/>
        <w:textAlignment w:val="auto"/>
        <w:rPr>
          <w:rFonts w:hint="eastAsia" w:ascii="宋体" w:hAnsi="宋体"/>
          <w:color w:val="auto"/>
          <w:sz w:val="24"/>
          <w:szCs w:val="24"/>
          <w:lang w:val="zh-CN"/>
        </w:rPr>
      </w:pPr>
    </w:p>
    <w:p>
      <w:pPr>
        <w:pageBreakBefore w:val="0"/>
        <w:widowControl/>
        <w:kinsoku/>
        <w:wordWrap/>
        <w:overflowPunct/>
        <w:topLinePunct w:val="0"/>
        <w:autoSpaceDE/>
        <w:autoSpaceDN/>
        <w:bidi w:val="0"/>
        <w:adjustRightInd/>
        <w:snapToGrid/>
        <w:spacing w:before="100" w:beforeLines="0" w:after="100" w:afterLines="0"/>
        <w:ind w:firstLine="480" w:firstLineChars="200"/>
        <w:jc w:val="center"/>
        <w:textAlignment w:val="auto"/>
        <w:rPr>
          <w:rFonts w:hint="eastAsia" w:ascii="宋体" w:hAnsi="宋体"/>
          <w:color w:val="auto"/>
          <w:sz w:val="24"/>
          <w:szCs w:val="24"/>
          <w:lang w:val="zh-CN"/>
        </w:rPr>
      </w:pPr>
    </w:p>
    <w:p>
      <w:pPr>
        <w:pageBreakBefore w:val="0"/>
        <w:widowControl/>
        <w:kinsoku/>
        <w:wordWrap/>
        <w:overflowPunct/>
        <w:topLinePunct w:val="0"/>
        <w:autoSpaceDE/>
        <w:autoSpaceDN/>
        <w:bidi w:val="0"/>
        <w:adjustRightInd/>
        <w:snapToGrid/>
        <w:spacing w:before="100" w:beforeLines="0" w:after="100" w:afterLines="0"/>
        <w:ind w:firstLine="480" w:firstLineChars="200"/>
        <w:jc w:val="center"/>
        <w:textAlignment w:val="auto"/>
        <w:rPr>
          <w:rFonts w:hint="eastAsia" w:ascii="宋体" w:hAnsi="宋体"/>
          <w:color w:val="auto"/>
          <w:sz w:val="24"/>
          <w:szCs w:val="24"/>
          <w:lang w:val="zh-CN"/>
        </w:rPr>
      </w:pPr>
    </w:p>
    <w:p>
      <w:pPr>
        <w:pageBreakBefore w:val="0"/>
        <w:widowControl/>
        <w:kinsoku/>
        <w:wordWrap/>
        <w:overflowPunct/>
        <w:topLinePunct w:val="0"/>
        <w:autoSpaceDE/>
        <w:autoSpaceDN/>
        <w:bidi w:val="0"/>
        <w:adjustRightInd/>
        <w:snapToGrid/>
        <w:spacing w:before="100" w:beforeLines="0" w:after="100" w:afterLines="0"/>
        <w:ind w:firstLine="480" w:firstLineChars="200"/>
        <w:jc w:val="center"/>
        <w:textAlignment w:val="auto"/>
        <w:rPr>
          <w:rFonts w:hint="eastAsia" w:ascii="宋体" w:hAnsi="宋体"/>
          <w:color w:val="auto"/>
          <w:sz w:val="24"/>
          <w:szCs w:val="24"/>
          <w:lang w:val="zh-CN"/>
        </w:rPr>
      </w:pPr>
    </w:p>
    <w:p>
      <w:pPr>
        <w:pageBreakBefore w:val="0"/>
        <w:widowControl/>
        <w:kinsoku/>
        <w:wordWrap/>
        <w:overflowPunct/>
        <w:topLinePunct w:val="0"/>
        <w:autoSpaceDE/>
        <w:autoSpaceDN/>
        <w:bidi w:val="0"/>
        <w:adjustRightInd/>
        <w:snapToGrid/>
        <w:spacing w:before="100" w:beforeLines="0" w:after="100" w:afterLines="0"/>
        <w:ind w:firstLine="480" w:firstLineChars="200"/>
        <w:jc w:val="center"/>
        <w:textAlignment w:val="auto"/>
        <w:rPr>
          <w:rFonts w:hint="eastAsia" w:ascii="宋体" w:hAnsi="宋体"/>
          <w:color w:val="auto"/>
          <w:sz w:val="24"/>
          <w:szCs w:val="24"/>
          <w:lang w:val="zh-CN"/>
        </w:rPr>
      </w:pPr>
    </w:p>
    <w:p>
      <w:pPr>
        <w:pageBreakBefore w:val="0"/>
        <w:widowControl/>
        <w:kinsoku/>
        <w:wordWrap/>
        <w:overflowPunct/>
        <w:topLinePunct w:val="0"/>
        <w:autoSpaceDE/>
        <w:autoSpaceDN/>
        <w:bidi w:val="0"/>
        <w:adjustRightInd/>
        <w:snapToGrid/>
        <w:spacing w:before="100" w:beforeLines="0" w:after="100" w:afterLines="0"/>
        <w:ind w:firstLine="480" w:firstLineChars="200"/>
        <w:jc w:val="center"/>
        <w:textAlignment w:val="auto"/>
        <w:rPr>
          <w:rFonts w:hint="eastAsia" w:ascii="宋体" w:hAnsi="宋体"/>
          <w:color w:val="auto"/>
          <w:sz w:val="24"/>
          <w:szCs w:val="24"/>
          <w:lang w:val="zh-CN"/>
        </w:rPr>
      </w:pPr>
      <w:r>
        <w:rPr>
          <w:rFonts w:hint="eastAsia" w:ascii="宋体" w:hAnsi="宋体"/>
          <w:color w:val="auto"/>
          <w:sz w:val="24"/>
          <w:szCs w:val="24"/>
          <w:lang w:val="zh-CN"/>
        </w:rPr>
        <w:t>2023年度</w:t>
      </w:r>
    </w:p>
    <w:p>
      <w:pPr>
        <w:pageBreakBefore w:val="0"/>
        <w:widowControl/>
        <w:kinsoku/>
        <w:wordWrap/>
        <w:overflowPunct/>
        <w:topLinePunct w:val="0"/>
        <w:autoSpaceDE/>
        <w:autoSpaceDN/>
        <w:bidi w:val="0"/>
        <w:adjustRightInd/>
        <w:snapToGrid/>
        <w:spacing w:before="100" w:beforeLines="0" w:after="100" w:afterLines="0"/>
        <w:ind w:firstLine="480" w:firstLineChars="200"/>
        <w:jc w:val="center"/>
        <w:textAlignment w:val="auto"/>
        <w:rPr>
          <w:rFonts w:hint="eastAsia" w:ascii="宋体" w:hAnsi="宋体"/>
          <w:color w:val="auto"/>
          <w:sz w:val="24"/>
          <w:szCs w:val="24"/>
          <w:lang w:val="zh-CN"/>
        </w:rPr>
      </w:pPr>
      <w:r>
        <w:rPr>
          <w:rFonts w:hint="eastAsia" w:ascii="宋体" w:hAnsi="宋体"/>
          <w:color w:val="auto"/>
          <w:sz w:val="24"/>
          <w:szCs w:val="24"/>
          <w:lang w:val="zh-CN"/>
        </w:rPr>
        <w:t>华池县房产服务中心部门决算</w:t>
      </w:r>
    </w:p>
    <w:p>
      <w:pPr>
        <w:pageBreakBefore w:val="0"/>
        <w:widowControl/>
        <w:kinsoku/>
        <w:wordWrap/>
        <w:overflowPunct/>
        <w:topLinePunct w:val="0"/>
        <w:autoSpaceDE/>
        <w:autoSpaceDN/>
        <w:bidi w:val="0"/>
        <w:adjustRightInd/>
        <w:snapToGrid/>
        <w:spacing w:before="100" w:beforeLines="0" w:after="100" w:afterLines="0"/>
        <w:ind w:firstLine="480" w:firstLineChars="200"/>
        <w:jc w:val="center"/>
        <w:textAlignment w:val="auto"/>
        <w:rPr>
          <w:rFonts w:hint="eastAsia" w:ascii="宋体" w:hAnsi="宋体"/>
          <w:color w:val="auto"/>
          <w:sz w:val="24"/>
          <w:szCs w:val="24"/>
          <w:lang w:val="zh-CN"/>
        </w:rPr>
      </w:pPr>
    </w:p>
    <w:p>
      <w:pPr>
        <w:pageBreakBefore w:val="0"/>
        <w:widowControl/>
        <w:kinsoku/>
        <w:wordWrap/>
        <w:overflowPunct/>
        <w:topLinePunct w:val="0"/>
        <w:autoSpaceDE/>
        <w:autoSpaceDN/>
        <w:bidi w:val="0"/>
        <w:adjustRightInd/>
        <w:snapToGrid/>
        <w:spacing w:before="100" w:beforeLines="0" w:after="100" w:afterLines="0"/>
        <w:ind w:firstLine="480" w:firstLineChars="200"/>
        <w:jc w:val="center"/>
        <w:textAlignment w:val="auto"/>
        <w:rPr>
          <w:rFonts w:hint="eastAsia" w:ascii="宋体" w:hAnsi="宋体"/>
          <w:color w:val="auto"/>
          <w:sz w:val="24"/>
          <w:szCs w:val="24"/>
          <w:lang w:val="zh-CN"/>
        </w:rPr>
      </w:pPr>
    </w:p>
    <w:p>
      <w:pPr>
        <w:pageBreakBefore w:val="0"/>
        <w:widowControl/>
        <w:kinsoku/>
        <w:wordWrap/>
        <w:overflowPunct/>
        <w:topLinePunct w:val="0"/>
        <w:autoSpaceDE/>
        <w:autoSpaceDN/>
        <w:bidi w:val="0"/>
        <w:adjustRightInd/>
        <w:snapToGrid/>
        <w:spacing w:before="100" w:beforeLines="0" w:after="100" w:afterLines="0"/>
        <w:ind w:firstLine="480" w:firstLineChars="200"/>
        <w:jc w:val="center"/>
        <w:textAlignment w:val="auto"/>
        <w:rPr>
          <w:rFonts w:hint="eastAsia" w:ascii="宋体" w:hAnsi="宋体"/>
          <w:color w:val="auto"/>
          <w:sz w:val="24"/>
          <w:szCs w:val="24"/>
          <w:lang w:val="zh-CN"/>
        </w:rPr>
      </w:pPr>
    </w:p>
    <w:p>
      <w:pPr>
        <w:pageBreakBefore w:val="0"/>
        <w:widowControl/>
        <w:kinsoku/>
        <w:wordWrap/>
        <w:overflowPunct/>
        <w:topLinePunct w:val="0"/>
        <w:autoSpaceDE/>
        <w:autoSpaceDN/>
        <w:bidi w:val="0"/>
        <w:adjustRightInd/>
        <w:snapToGrid/>
        <w:spacing w:before="100" w:beforeLines="0" w:after="100" w:afterLines="0"/>
        <w:ind w:firstLine="480" w:firstLineChars="200"/>
        <w:jc w:val="center"/>
        <w:textAlignment w:val="auto"/>
        <w:rPr>
          <w:rFonts w:hint="eastAsia" w:ascii="宋体" w:hAnsi="宋体"/>
          <w:color w:val="auto"/>
          <w:sz w:val="24"/>
          <w:szCs w:val="24"/>
          <w:lang w:val="zh-CN"/>
        </w:rPr>
      </w:pPr>
    </w:p>
    <w:p>
      <w:pPr>
        <w:pageBreakBefore w:val="0"/>
        <w:widowControl/>
        <w:kinsoku/>
        <w:wordWrap/>
        <w:overflowPunct/>
        <w:topLinePunct w:val="0"/>
        <w:autoSpaceDE/>
        <w:autoSpaceDN/>
        <w:bidi w:val="0"/>
        <w:adjustRightInd/>
        <w:snapToGrid/>
        <w:spacing w:before="100" w:beforeLines="0" w:after="100" w:afterLines="0"/>
        <w:ind w:firstLine="480" w:firstLineChars="200"/>
        <w:jc w:val="center"/>
        <w:textAlignment w:val="auto"/>
        <w:rPr>
          <w:rFonts w:hint="eastAsia" w:ascii="宋体" w:hAnsi="宋体"/>
          <w:color w:val="auto"/>
          <w:sz w:val="24"/>
          <w:szCs w:val="24"/>
          <w:lang w:val="zh-CN"/>
        </w:rPr>
      </w:pPr>
    </w:p>
    <w:p>
      <w:pPr>
        <w:pageBreakBefore w:val="0"/>
        <w:widowControl/>
        <w:kinsoku/>
        <w:wordWrap/>
        <w:overflowPunct/>
        <w:topLinePunct w:val="0"/>
        <w:autoSpaceDE/>
        <w:autoSpaceDN/>
        <w:bidi w:val="0"/>
        <w:adjustRightInd/>
        <w:snapToGrid/>
        <w:spacing w:before="100" w:beforeLines="0" w:after="100" w:afterLines="0"/>
        <w:ind w:firstLine="480" w:firstLineChars="200"/>
        <w:jc w:val="center"/>
        <w:textAlignment w:val="auto"/>
        <w:rPr>
          <w:rFonts w:hint="eastAsia" w:ascii="宋体" w:hAnsi="宋体"/>
          <w:color w:val="auto"/>
          <w:sz w:val="24"/>
          <w:szCs w:val="24"/>
          <w:lang w:val="zh-CN"/>
        </w:rPr>
      </w:pPr>
    </w:p>
    <w:p>
      <w:pPr>
        <w:pageBreakBefore w:val="0"/>
        <w:widowControl/>
        <w:kinsoku/>
        <w:wordWrap/>
        <w:overflowPunct/>
        <w:topLinePunct w:val="0"/>
        <w:autoSpaceDE/>
        <w:autoSpaceDN/>
        <w:bidi w:val="0"/>
        <w:adjustRightInd/>
        <w:snapToGrid/>
        <w:spacing w:before="100" w:beforeLines="0" w:after="100" w:afterLines="0"/>
        <w:ind w:firstLine="480" w:firstLineChars="200"/>
        <w:jc w:val="center"/>
        <w:textAlignment w:val="auto"/>
        <w:rPr>
          <w:rFonts w:hint="eastAsia" w:ascii="宋体" w:hAnsi="宋体"/>
          <w:color w:val="auto"/>
          <w:sz w:val="24"/>
          <w:szCs w:val="24"/>
          <w:lang w:val="zh-CN"/>
        </w:rPr>
      </w:pPr>
    </w:p>
    <w:p>
      <w:pPr>
        <w:pageBreakBefore w:val="0"/>
        <w:widowControl/>
        <w:kinsoku/>
        <w:wordWrap/>
        <w:overflowPunct/>
        <w:topLinePunct w:val="0"/>
        <w:autoSpaceDE/>
        <w:autoSpaceDN/>
        <w:bidi w:val="0"/>
        <w:adjustRightInd/>
        <w:snapToGrid/>
        <w:spacing w:before="100" w:beforeLines="0" w:after="100" w:afterLines="0"/>
        <w:ind w:firstLine="480" w:firstLineChars="200"/>
        <w:jc w:val="center"/>
        <w:textAlignment w:val="auto"/>
        <w:rPr>
          <w:rFonts w:hint="eastAsia" w:ascii="宋体" w:hAnsi="宋体"/>
          <w:color w:val="auto"/>
          <w:sz w:val="24"/>
          <w:szCs w:val="24"/>
          <w:lang w:val="zh-CN"/>
        </w:rPr>
      </w:pPr>
    </w:p>
    <w:p>
      <w:pPr>
        <w:pageBreakBefore w:val="0"/>
        <w:widowControl/>
        <w:kinsoku/>
        <w:wordWrap/>
        <w:overflowPunct/>
        <w:topLinePunct w:val="0"/>
        <w:autoSpaceDE/>
        <w:autoSpaceDN/>
        <w:bidi w:val="0"/>
        <w:adjustRightInd/>
        <w:snapToGrid/>
        <w:spacing w:before="100" w:beforeLines="0" w:after="100" w:afterLines="0"/>
        <w:ind w:firstLine="480" w:firstLineChars="200"/>
        <w:jc w:val="center"/>
        <w:textAlignment w:val="auto"/>
        <w:rPr>
          <w:rFonts w:hint="eastAsia" w:ascii="宋体" w:hAnsi="宋体"/>
          <w:color w:val="auto"/>
          <w:sz w:val="24"/>
          <w:szCs w:val="24"/>
          <w:lang w:val="zh-CN"/>
        </w:rPr>
      </w:pPr>
    </w:p>
    <w:p>
      <w:pPr>
        <w:pageBreakBefore w:val="0"/>
        <w:widowControl/>
        <w:kinsoku/>
        <w:wordWrap/>
        <w:overflowPunct/>
        <w:topLinePunct w:val="0"/>
        <w:autoSpaceDE/>
        <w:autoSpaceDN/>
        <w:bidi w:val="0"/>
        <w:adjustRightInd/>
        <w:snapToGrid/>
        <w:spacing w:before="100" w:beforeLines="0" w:after="100" w:afterLines="0"/>
        <w:ind w:firstLine="480" w:firstLineChars="200"/>
        <w:jc w:val="center"/>
        <w:textAlignment w:val="auto"/>
        <w:rPr>
          <w:rFonts w:hint="eastAsia" w:ascii="宋体" w:hAnsi="宋体"/>
          <w:color w:val="auto"/>
          <w:sz w:val="24"/>
          <w:szCs w:val="24"/>
          <w:lang w:val="zh-CN"/>
        </w:rPr>
      </w:pPr>
    </w:p>
    <w:p>
      <w:pPr>
        <w:pageBreakBefore w:val="0"/>
        <w:widowControl/>
        <w:kinsoku/>
        <w:wordWrap/>
        <w:overflowPunct/>
        <w:topLinePunct w:val="0"/>
        <w:autoSpaceDE/>
        <w:autoSpaceDN/>
        <w:bidi w:val="0"/>
        <w:adjustRightInd/>
        <w:snapToGrid/>
        <w:spacing w:before="100" w:beforeLines="0" w:after="100" w:afterLines="0"/>
        <w:ind w:firstLine="480" w:firstLineChars="200"/>
        <w:jc w:val="center"/>
        <w:textAlignment w:val="auto"/>
        <w:rPr>
          <w:rFonts w:hint="eastAsia" w:ascii="宋体" w:hAnsi="宋体"/>
          <w:color w:val="auto"/>
          <w:sz w:val="24"/>
          <w:szCs w:val="24"/>
          <w:lang w:val="zh-CN"/>
        </w:rPr>
      </w:pPr>
    </w:p>
    <w:p>
      <w:pPr>
        <w:pageBreakBefore w:val="0"/>
        <w:widowControl/>
        <w:kinsoku/>
        <w:wordWrap/>
        <w:overflowPunct/>
        <w:topLinePunct w:val="0"/>
        <w:autoSpaceDE/>
        <w:autoSpaceDN/>
        <w:bidi w:val="0"/>
        <w:adjustRightInd/>
        <w:snapToGrid/>
        <w:spacing w:before="100" w:beforeLines="0" w:after="100" w:afterLines="0"/>
        <w:ind w:firstLine="480" w:firstLineChars="200"/>
        <w:jc w:val="center"/>
        <w:textAlignment w:val="auto"/>
        <w:rPr>
          <w:rFonts w:hint="eastAsia" w:ascii="宋体" w:hAnsi="宋体"/>
          <w:color w:val="auto"/>
          <w:sz w:val="24"/>
          <w:szCs w:val="24"/>
          <w:lang w:val="zh-CN"/>
        </w:rPr>
      </w:pPr>
    </w:p>
    <w:p>
      <w:pPr>
        <w:pageBreakBefore w:val="0"/>
        <w:widowControl/>
        <w:kinsoku/>
        <w:wordWrap/>
        <w:overflowPunct/>
        <w:topLinePunct w:val="0"/>
        <w:autoSpaceDE/>
        <w:autoSpaceDN/>
        <w:bidi w:val="0"/>
        <w:adjustRightInd/>
        <w:snapToGrid/>
        <w:spacing w:before="100" w:beforeLines="0" w:after="100" w:afterLines="0"/>
        <w:ind w:firstLine="480" w:firstLineChars="200"/>
        <w:jc w:val="center"/>
        <w:textAlignment w:val="auto"/>
        <w:rPr>
          <w:rFonts w:hint="eastAsia" w:ascii="宋体" w:hAnsi="宋体"/>
          <w:color w:val="auto"/>
          <w:sz w:val="24"/>
          <w:szCs w:val="24"/>
          <w:lang w:val="zh-CN"/>
        </w:rPr>
      </w:pPr>
    </w:p>
    <w:p>
      <w:pPr>
        <w:pageBreakBefore w:val="0"/>
        <w:widowControl/>
        <w:kinsoku/>
        <w:wordWrap/>
        <w:overflowPunct/>
        <w:topLinePunct w:val="0"/>
        <w:autoSpaceDE/>
        <w:autoSpaceDN/>
        <w:bidi w:val="0"/>
        <w:adjustRightInd/>
        <w:snapToGrid/>
        <w:spacing w:before="100" w:beforeLines="0" w:after="100" w:afterLines="0"/>
        <w:ind w:firstLine="480" w:firstLineChars="200"/>
        <w:jc w:val="center"/>
        <w:textAlignment w:val="auto"/>
        <w:rPr>
          <w:rFonts w:hint="eastAsia" w:ascii="宋体" w:hAnsi="宋体"/>
          <w:color w:val="auto"/>
          <w:sz w:val="24"/>
          <w:szCs w:val="24"/>
          <w:lang w:val="zh-CN"/>
        </w:rPr>
      </w:pPr>
    </w:p>
    <w:p>
      <w:pPr>
        <w:pageBreakBefore w:val="0"/>
        <w:widowControl/>
        <w:kinsoku/>
        <w:wordWrap/>
        <w:overflowPunct/>
        <w:topLinePunct w:val="0"/>
        <w:autoSpaceDE/>
        <w:autoSpaceDN/>
        <w:bidi w:val="0"/>
        <w:adjustRightInd/>
        <w:snapToGrid/>
        <w:spacing w:before="100" w:beforeLines="0" w:after="100" w:afterLines="0"/>
        <w:ind w:firstLine="480" w:firstLineChars="200"/>
        <w:jc w:val="center"/>
        <w:textAlignment w:val="auto"/>
        <w:rPr>
          <w:rFonts w:hint="eastAsia" w:ascii="宋体" w:hAnsi="宋体"/>
          <w:color w:val="auto"/>
          <w:sz w:val="24"/>
          <w:szCs w:val="24"/>
          <w:lang w:val="zh-CN"/>
        </w:rPr>
      </w:pPr>
    </w:p>
    <w:p>
      <w:pPr>
        <w:pageBreakBefore w:val="0"/>
        <w:widowControl/>
        <w:kinsoku/>
        <w:wordWrap/>
        <w:overflowPunct/>
        <w:topLinePunct w:val="0"/>
        <w:autoSpaceDE/>
        <w:autoSpaceDN/>
        <w:bidi w:val="0"/>
        <w:adjustRightInd/>
        <w:snapToGrid/>
        <w:spacing w:before="100" w:beforeLines="0" w:after="100" w:afterLines="0"/>
        <w:ind w:firstLine="480" w:firstLineChars="200"/>
        <w:jc w:val="center"/>
        <w:textAlignment w:val="auto"/>
        <w:rPr>
          <w:rFonts w:hint="eastAsia" w:ascii="宋体" w:hAnsi="宋体"/>
          <w:color w:val="auto"/>
          <w:sz w:val="24"/>
          <w:szCs w:val="24"/>
          <w:lang w:val="zh-CN"/>
        </w:rPr>
      </w:pPr>
    </w:p>
    <w:p>
      <w:pPr>
        <w:pageBreakBefore w:val="0"/>
        <w:widowControl/>
        <w:kinsoku/>
        <w:wordWrap/>
        <w:overflowPunct/>
        <w:topLinePunct w:val="0"/>
        <w:autoSpaceDE/>
        <w:autoSpaceDN/>
        <w:bidi w:val="0"/>
        <w:adjustRightInd/>
        <w:snapToGrid/>
        <w:spacing w:before="100" w:beforeLines="0" w:after="100" w:afterLines="0"/>
        <w:ind w:firstLine="480" w:firstLineChars="200"/>
        <w:jc w:val="center"/>
        <w:textAlignment w:val="auto"/>
        <w:rPr>
          <w:rFonts w:hint="eastAsia" w:ascii="宋体" w:hAnsi="宋体"/>
          <w:color w:val="auto"/>
          <w:sz w:val="24"/>
          <w:szCs w:val="24"/>
          <w:lang w:val="zh-CN"/>
        </w:rPr>
      </w:pPr>
    </w:p>
    <w:p>
      <w:pPr>
        <w:pageBreakBefore w:val="0"/>
        <w:widowControl/>
        <w:kinsoku/>
        <w:wordWrap/>
        <w:overflowPunct/>
        <w:topLinePunct w:val="0"/>
        <w:autoSpaceDE/>
        <w:autoSpaceDN/>
        <w:bidi w:val="0"/>
        <w:adjustRightInd/>
        <w:snapToGrid/>
        <w:spacing w:before="100" w:beforeLines="0" w:after="100" w:afterLines="0"/>
        <w:ind w:firstLine="480" w:firstLineChars="200"/>
        <w:jc w:val="center"/>
        <w:textAlignment w:val="auto"/>
        <w:rPr>
          <w:rFonts w:hint="eastAsia" w:ascii="宋体" w:hAnsi="宋体"/>
          <w:color w:val="auto"/>
          <w:sz w:val="24"/>
          <w:szCs w:val="24"/>
          <w:lang w:val="zh-CN"/>
        </w:rPr>
      </w:pPr>
    </w:p>
    <w:p>
      <w:pPr>
        <w:pageBreakBefore w:val="0"/>
        <w:widowControl/>
        <w:kinsoku/>
        <w:wordWrap/>
        <w:overflowPunct/>
        <w:topLinePunct w:val="0"/>
        <w:autoSpaceDE/>
        <w:autoSpaceDN/>
        <w:bidi w:val="0"/>
        <w:adjustRightInd/>
        <w:snapToGrid/>
        <w:spacing w:before="100" w:beforeLines="0" w:after="100" w:afterLines="0"/>
        <w:ind w:firstLine="482" w:firstLineChars="200"/>
        <w:jc w:val="center"/>
        <w:textAlignment w:val="auto"/>
        <w:rPr>
          <w:rFonts w:hint="eastAsia" w:ascii="宋体" w:hAnsi="宋体"/>
          <w:color w:val="auto"/>
          <w:sz w:val="24"/>
          <w:szCs w:val="24"/>
          <w:lang w:val="zh-CN"/>
        </w:rPr>
      </w:pPr>
      <w:r>
        <w:rPr>
          <w:rFonts w:hint="eastAsia" w:ascii="宋体" w:hAnsi="宋体"/>
          <w:b/>
          <w:color w:val="auto"/>
          <w:sz w:val="24"/>
          <w:szCs w:val="24"/>
          <w:lang w:val="zh-CN"/>
        </w:rPr>
        <w:t>目录</w:t>
      </w:r>
    </w:p>
    <w:p>
      <w:pPr>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color w:val="auto"/>
          <w:sz w:val="24"/>
          <w:szCs w:val="24"/>
          <w:lang w:val="zh-CN"/>
        </w:rPr>
      </w:pPr>
      <w:r>
        <w:rPr>
          <w:rFonts w:hint="eastAsia" w:ascii="宋体" w:hAnsi="宋体"/>
          <w:b/>
          <w:color w:val="auto"/>
          <w:sz w:val="24"/>
          <w:szCs w:val="24"/>
          <w:lang w:val="zh-CN"/>
        </w:rPr>
        <w:t>第一部分部门概况</w:t>
      </w:r>
    </w:p>
    <w:p>
      <w:pPr>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一、部门职责</w:t>
      </w:r>
    </w:p>
    <w:p>
      <w:pPr>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二、机构设置</w:t>
      </w:r>
    </w:p>
    <w:p>
      <w:pPr>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color w:val="auto"/>
          <w:sz w:val="24"/>
          <w:szCs w:val="24"/>
          <w:lang w:val="zh-CN"/>
        </w:rPr>
      </w:pPr>
      <w:r>
        <w:rPr>
          <w:rFonts w:hint="eastAsia" w:ascii="宋体" w:hAnsi="宋体"/>
          <w:b/>
          <w:color w:val="auto"/>
          <w:sz w:val="24"/>
          <w:szCs w:val="24"/>
          <w:lang w:val="zh-CN"/>
        </w:rPr>
        <w:t>第二部分2023年度部门决算表</w:t>
      </w:r>
    </w:p>
    <w:p>
      <w:pPr>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一、收入支出决算总表</w:t>
      </w:r>
    </w:p>
    <w:p>
      <w:pPr>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二、收入决算表</w:t>
      </w:r>
    </w:p>
    <w:p>
      <w:pPr>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三、支出决算表</w:t>
      </w:r>
    </w:p>
    <w:p>
      <w:pPr>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四、财政拨款收入支出决算总表</w:t>
      </w:r>
    </w:p>
    <w:p>
      <w:pPr>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五、一般公共预算财政拨款支出决算表</w:t>
      </w:r>
    </w:p>
    <w:p>
      <w:pPr>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六、一般公共预算财政拨款基本支出决算明细表</w:t>
      </w:r>
    </w:p>
    <w:p>
      <w:pPr>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七、政府性基金预算财政拨款收入支出决算表</w:t>
      </w:r>
    </w:p>
    <w:p>
      <w:pPr>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八、国有资本经营预算财政拨款支出决算表</w:t>
      </w:r>
    </w:p>
    <w:p>
      <w:pPr>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九、财政拨款</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经费支出决算表</w:t>
      </w:r>
    </w:p>
    <w:p>
      <w:pPr>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color w:val="auto"/>
          <w:sz w:val="24"/>
          <w:szCs w:val="24"/>
          <w:lang w:val="zh-CN"/>
        </w:rPr>
      </w:pPr>
      <w:r>
        <w:rPr>
          <w:rFonts w:hint="eastAsia" w:ascii="宋体" w:hAnsi="宋体"/>
          <w:b/>
          <w:color w:val="auto"/>
          <w:sz w:val="24"/>
          <w:szCs w:val="24"/>
          <w:lang w:val="zh-CN"/>
        </w:rPr>
        <w:t>第三部分2023年度部门决算情况说明</w:t>
      </w:r>
    </w:p>
    <w:p>
      <w:pPr>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一、收入支出决算总体情况说明</w:t>
      </w:r>
    </w:p>
    <w:p>
      <w:pPr>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二、收入决算情况说明</w:t>
      </w:r>
    </w:p>
    <w:p>
      <w:pPr>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三、支出决算情况说明</w:t>
      </w:r>
    </w:p>
    <w:p>
      <w:pPr>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四、财政拨款收入支出决算总体情况说明</w:t>
      </w:r>
    </w:p>
    <w:p>
      <w:pPr>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五、一般公共预算财政拨款支出决算情况说明</w:t>
      </w:r>
    </w:p>
    <w:p>
      <w:pPr>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六、一般公共预算财政拨款基本支出决算情况说明</w:t>
      </w:r>
    </w:p>
    <w:p>
      <w:pPr>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default" w:ascii="宋体" w:hAnsi="宋体" w:eastAsia="宋体"/>
          <w:color w:val="auto"/>
          <w:sz w:val="24"/>
          <w:szCs w:val="24"/>
          <w:lang w:val="en-US" w:eastAsia="zh-CN"/>
        </w:rPr>
      </w:pPr>
      <w:r>
        <w:rPr>
          <w:rFonts w:hint="eastAsia" w:ascii="宋体" w:hAnsi="宋体"/>
          <w:color w:val="auto"/>
          <w:sz w:val="24"/>
          <w:szCs w:val="24"/>
          <w:lang w:val="zh-CN"/>
        </w:rPr>
        <w:t>七、政府性基金预算财政拨款收支决算情况说明</w:t>
      </w:r>
    </w:p>
    <w:p>
      <w:pPr>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八、国有资本经营预算财政拨款支出情况说明</w:t>
      </w:r>
    </w:p>
    <w:p>
      <w:pPr>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en-US" w:eastAsia="zh-CN"/>
        </w:rPr>
      </w:pPr>
      <w:r>
        <w:rPr>
          <w:rFonts w:hint="eastAsia" w:ascii="宋体" w:hAnsi="宋体"/>
          <w:color w:val="auto"/>
          <w:sz w:val="24"/>
          <w:szCs w:val="24"/>
          <w:lang w:val="zh-CN"/>
        </w:rPr>
        <w:t>九、财政拨款</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经费支出决算情况说明</w:t>
      </w:r>
    </w:p>
    <w:p>
      <w:pPr>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default" w:ascii="宋体" w:hAnsi="宋体" w:eastAsia="宋体"/>
          <w:color w:val="auto"/>
          <w:sz w:val="24"/>
          <w:szCs w:val="24"/>
          <w:lang w:val="en-US" w:eastAsia="zh-CN"/>
        </w:rPr>
      </w:pPr>
      <w:r>
        <w:rPr>
          <w:rFonts w:hint="eastAsia" w:ascii="宋体" w:hAnsi="宋体"/>
          <w:color w:val="auto"/>
          <w:sz w:val="24"/>
          <w:szCs w:val="24"/>
          <w:lang w:val="zh-CN"/>
        </w:rPr>
        <w:t>十、机关运行经费支出情况说明</w:t>
      </w:r>
    </w:p>
    <w:p>
      <w:pPr>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十一、政府采购支出情况说明</w:t>
      </w:r>
    </w:p>
    <w:p>
      <w:pPr>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十二、国有资产占用情况说明</w:t>
      </w:r>
    </w:p>
    <w:p>
      <w:pPr>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十三、其他需要说明的情况</w:t>
      </w:r>
    </w:p>
    <w:p>
      <w:pPr>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color w:val="auto"/>
          <w:sz w:val="24"/>
          <w:szCs w:val="24"/>
          <w:lang w:val="zh-CN"/>
        </w:rPr>
      </w:pPr>
      <w:r>
        <w:rPr>
          <w:rFonts w:hint="eastAsia" w:ascii="宋体" w:hAnsi="宋体"/>
          <w:b/>
          <w:color w:val="auto"/>
          <w:sz w:val="24"/>
          <w:szCs w:val="24"/>
          <w:lang w:val="zh-CN"/>
        </w:rPr>
        <w:t>第四部分预算绩效情况说明</w:t>
      </w:r>
    </w:p>
    <w:p>
      <w:pPr>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color w:val="auto"/>
          <w:sz w:val="24"/>
          <w:szCs w:val="24"/>
          <w:lang w:val="zh-CN"/>
        </w:rPr>
      </w:pPr>
      <w:r>
        <w:rPr>
          <w:rFonts w:hint="eastAsia" w:ascii="宋体" w:hAnsi="宋体"/>
          <w:b/>
          <w:color w:val="auto"/>
          <w:sz w:val="24"/>
          <w:szCs w:val="24"/>
          <w:lang w:val="zh-CN"/>
        </w:rPr>
        <w:t>第五部分名词解释</w:t>
      </w:r>
    </w:p>
    <w:p>
      <w:pPr>
        <w:pageBreakBefore w:val="0"/>
        <w:widowControl/>
        <w:kinsoku/>
        <w:wordWrap/>
        <w:overflowPunct/>
        <w:topLinePunct w:val="0"/>
        <w:autoSpaceDE/>
        <w:autoSpaceDN/>
        <w:bidi w:val="0"/>
        <w:adjustRightInd/>
        <w:snapToGrid/>
        <w:spacing w:before="100" w:beforeLines="0" w:after="100" w:afterLines="0"/>
        <w:ind w:firstLine="482" w:firstLineChars="200"/>
        <w:jc w:val="center"/>
        <w:textAlignment w:val="auto"/>
        <w:rPr>
          <w:rFonts w:hint="eastAsia" w:ascii="宋体" w:hAnsi="宋体"/>
          <w:color w:val="auto"/>
          <w:sz w:val="24"/>
          <w:szCs w:val="24"/>
          <w:lang w:val="zh-CN"/>
        </w:rPr>
      </w:pPr>
      <w:r>
        <w:rPr>
          <w:rFonts w:hint="eastAsia" w:ascii="宋体" w:hAnsi="宋体"/>
          <w:b/>
          <w:color w:val="auto"/>
          <w:sz w:val="24"/>
          <w:szCs w:val="24"/>
          <w:lang w:val="zh-CN"/>
        </w:rPr>
        <w:t>第一部分部门概况</w:t>
      </w:r>
    </w:p>
    <w:p>
      <w:pPr>
        <w:pageBreakBefore w:val="0"/>
        <w:widowControl/>
        <w:kinsoku/>
        <w:wordWrap/>
        <w:overflowPunct/>
        <w:topLinePunct w:val="0"/>
        <w:autoSpaceDE/>
        <w:autoSpaceDN/>
        <w:bidi w:val="0"/>
        <w:adjustRightInd/>
        <w:snapToGrid/>
        <w:spacing w:before="100" w:beforeLines="0" w:after="100" w:afterLines="0"/>
        <w:ind w:left="420" w:leftChars="0"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一、部门职责</w:t>
      </w:r>
    </w:p>
    <w:p>
      <w:pPr>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华池县房产服务中心是县直工作的职能部门。主要职责是:贯彻执行国家、省、市县有关房产管理以及住房制度改革的方针、政策、法律、法规，引导房地产业健康发展。负责拟定完善全县住房制度改革规划、实施方案和相关政策，并组织实施</w:t>
      </w:r>
      <w:r>
        <w:rPr>
          <w:rFonts w:hint="eastAsia" w:ascii="宋体" w:hAnsi="宋体"/>
          <w:color w:val="auto"/>
          <w:sz w:val="24"/>
          <w:szCs w:val="24"/>
          <w:lang w:val="zh-CN" w:eastAsia="zh-CN"/>
        </w:rPr>
        <w:t>。</w:t>
      </w:r>
      <w:r>
        <w:rPr>
          <w:rFonts w:hint="eastAsia" w:ascii="宋体" w:hAnsi="宋体"/>
          <w:color w:val="auto"/>
          <w:sz w:val="24"/>
          <w:szCs w:val="24"/>
          <w:lang w:val="zh-CN"/>
        </w:rPr>
        <w:t>负责全县保障性住房建设和廉租住房租赁补贴发放工作</w:t>
      </w:r>
      <w:r>
        <w:rPr>
          <w:rFonts w:hint="eastAsia" w:ascii="宋体" w:hAnsi="宋体"/>
          <w:color w:val="auto"/>
          <w:sz w:val="24"/>
          <w:szCs w:val="24"/>
          <w:lang w:val="zh-CN" w:eastAsia="zh-CN"/>
        </w:rPr>
        <w:t>。</w:t>
      </w:r>
      <w:r>
        <w:rPr>
          <w:rFonts w:hint="eastAsia" w:ascii="宋体" w:hAnsi="宋体"/>
          <w:color w:val="auto"/>
          <w:sz w:val="24"/>
          <w:szCs w:val="24"/>
          <w:lang w:val="zh-CN"/>
        </w:rPr>
        <w:t>对商品房预售实施管理，核发《商品房预售许可证》</w:t>
      </w:r>
      <w:r>
        <w:rPr>
          <w:rFonts w:hint="eastAsia" w:ascii="宋体" w:hAnsi="宋体"/>
          <w:color w:val="auto"/>
          <w:sz w:val="24"/>
          <w:szCs w:val="24"/>
          <w:lang w:val="zh-CN" w:eastAsia="zh-CN"/>
        </w:rPr>
        <w:t>；</w:t>
      </w:r>
      <w:r>
        <w:rPr>
          <w:rFonts w:hint="eastAsia" w:ascii="宋体" w:hAnsi="宋体"/>
          <w:color w:val="auto"/>
          <w:sz w:val="24"/>
          <w:szCs w:val="24"/>
          <w:lang w:val="zh-CN"/>
        </w:rPr>
        <w:t>对交易合同实行备案登记，调解和仲裁合同纠纷，查处非法交易活动，规范房地产市场行为。负责房地产开发企业、房地产中介服务机构（含房屋评估、咨询、经纪机构）、物业管理企业的资质管理和行业管理。引导和组织实施住宅小区物业管理工作。负责房地产房政执法检查工作，查处违法违章行为。完成上级业务主管部门交办的其他工作。</w:t>
      </w:r>
    </w:p>
    <w:p>
      <w:pPr>
        <w:pageBreakBefore w:val="0"/>
        <w:widowControl/>
        <w:kinsoku/>
        <w:wordWrap/>
        <w:overflowPunct/>
        <w:topLinePunct w:val="0"/>
        <w:autoSpaceDE/>
        <w:autoSpaceDN/>
        <w:bidi w:val="0"/>
        <w:adjustRightInd/>
        <w:snapToGrid/>
        <w:spacing w:before="100" w:beforeLines="0" w:after="100" w:afterLines="0"/>
        <w:ind w:left="218" w:leftChars="0"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二、机构设置</w:t>
      </w:r>
    </w:p>
    <w:p>
      <w:pPr>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（1）机关内设机构</w:t>
      </w:r>
    </w:p>
    <w:p>
      <w:pPr>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华池县房产服务中心内设4个职能</w:t>
      </w:r>
      <w:r>
        <w:rPr>
          <w:rFonts w:hint="eastAsia" w:ascii="宋体" w:hAnsi="宋体"/>
          <w:color w:val="auto"/>
          <w:sz w:val="24"/>
          <w:szCs w:val="24"/>
          <w:lang w:val="en-US" w:eastAsia="zh-CN"/>
        </w:rPr>
        <w:t>办公室</w:t>
      </w:r>
      <w:r>
        <w:rPr>
          <w:rFonts w:hint="eastAsia" w:ascii="宋体" w:hAnsi="宋体"/>
          <w:color w:val="auto"/>
          <w:sz w:val="24"/>
          <w:szCs w:val="24"/>
          <w:lang w:val="zh-CN"/>
        </w:rPr>
        <w:t>,包括:</w:t>
      </w:r>
      <w:r>
        <w:rPr>
          <w:rFonts w:hint="eastAsia" w:ascii="宋体" w:hAnsi="宋体"/>
          <w:color w:val="auto"/>
          <w:sz w:val="24"/>
          <w:szCs w:val="24"/>
          <w:lang w:val="en-US" w:eastAsia="zh-CN"/>
        </w:rPr>
        <w:t>综合</w:t>
      </w:r>
      <w:r>
        <w:rPr>
          <w:rFonts w:hint="eastAsia" w:ascii="宋体" w:hAnsi="宋体"/>
          <w:color w:val="auto"/>
          <w:sz w:val="24"/>
          <w:szCs w:val="24"/>
          <w:lang w:val="zh-CN"/>
        </w:rPr>
        <w:t>办公室、住房保障</w:t>
      </w:r>
      <w:r>
        <w:rPr>
          <w:rFonts w:hint="eastAsia" w:ascii="宋体" w:hAnsi="宋体"/>
          <w:color w:val="auto"/>
          <w:sz w:val="24"/>
          <w:szCs w:val="24"/>
          <w:lang w:val="en-US" w:eastAsia="zh-CN"/>
        </w:rPr>
        <w:t>办公室</w:t>
      </w:r>
      <w:r>
        <w:rPr>
          <w:rFonts w:hint="eastAsia" w:ascii="宋体" w:hAnsi="宋体"/>
          <w:color w:val="auto"/>
          <w:sz w:val="24"/>
          <w:szCs w:val="24"/>
          <w:lang w:val="zh-CN"/>
        </w:rPr>
        <w:t>、房产</w:t>
      </w:r>
      <w:r>
        <w:rPr>
          <w:rFonts w:hint="eastAsia" w:ascii="宋体" w:hAnsi="宋体"/>
          <w:color w:val="auto"/>
          <w:sz w:val="24"/>
          <w:szCs w:val="24"/>
          <w:lang w:val="en-US" w:eastAsia="zh-CN"/>
        </w:rPr>
        <w:t>管理办公室</w:t>
      </w:r>
      <w:r>
        <w:rPr>
          <w:rFonts w:hint="eastAsia" w:ascii="宋体" w:hAnsi="宋体"/>
          <w:color w:val="auto"/>
          <w:sz w:val="24"/>
          <w:szCs w:val="24"/>
          <w:lang w:val="zh-CN"/>
        </w:rPr>
        <w:t>、物业</w:t>
      </w:r>
      <w:r>
        <w:rPr>
          <w:rFonts w:hint="eastAsia" w:ascii="宋体" w:hAnsi="宋体"/>
          <w:color w:val="auto"/>
          <w:sz w:val="24"/>
          <w:szCs w:val="24"/>
          <w:lang w:val="en-US" w:eastAsia="zh-CN"/>
        </w:rPr>
        <w:t>管理办公室</w:t>
      </w:r>
      <w:r>
        <w:rPr>
          <w:rFonts w:hint="eastAsia" w:ascii="宋体" w:hAnsi="宋体"/>
          <w:color w:val="auto"/>
          <w:sz w:val="24"/>
          <w:szCs w:val="24"/>
          <w:lang w:val="zh-CN"/>
        </w:rPr>
        <w:t>。</w:t>
      </w:r>
    </w:p>
    <w:p>
      <w:pPr>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（2）人员情况</w:t>
      </w:r>
    </w:p>
    <w:p>
      <w:pPr>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2023</w:t>
      </w:r>
      <w:r>
        <w:rPr>
          <w:rFonts w:hint="eastAsia" w:ascii="宋体" w:hAnsi="宋体"/>
          <w:color w:val="auto"/>
          <w:sz w:val="24"/>
          <w:szCs w:val="24"/>
          <w:lang w:val="zh-CN"/>
        </w:rPr>
        <w:t>度，我单位共有编制</w:t>
      </w:r>
      <w:r>
        <w:rPr>
          <w:rFonts w:hint="eastAsia" w:ascii="宋体" w:hAnsi="宋体"/>
          <w:color w:val="auto"/>
          <w:sz w:val="24"/>
          <w:szCs w:val="24"/>
          <w:lang w:val="en-US" w:eastAsia="zh-CN"/>
        </w:rPr>
        <w:t>8</w:t>
      </w:r>
      <w:r>
        <w:rPr>
          <w:rFonts w:hint="eastAsia" w:ascii="宋体" w:hAnsi="宋体"/>
          <w:color w:val="auto"/>
          <w:sz w:val="24"/>
          <w:szCs w:val="24"/>
          <w:lang w:val="zh-CN"/>
        </w:rPr>
        <w:t>名</w:t>
      </w:r>
      <w:r>
        <w:rPr>
          <w:rFonts w:hint="eastAsia" w:ascii="宋体" w:hAnsi="宋体"/>
          <w:color w:val="auto"/>
          <w:sz w:val="24"/>
          <w:szCs w:val="24"/>
          <w:lang w:val="zh-CN" w:eastAsia="zh-CN"/>
        </w:rPr>
        <w:t>，</w:t>
      </w:r>
      <w:r>
        <w:rPr>
          <w:rFonts w:hint="eastAsia" w:ascii="宋体" w:hAnsi="宋体"/>
          <w:color w:val="auto"/>
          <w:sz w:val="24"/>
          <w:szCs w:val="24"/>
          <w:lang w:val="en-US" w:eastAsia="zh-CN"/>
        </w:rPr>
        <w:t>其中：</w:t>
      </w:r>
      <w:r>
        <w:rPr>
          <w:rFonts w:hint="default" w:ascii="宋体" w:hAnsi="宋体"/>
          <w:color w:val="auto"/>
          <w:sz w:val="24"/>
          <w:szCs w:val="24"/>
          <w:lang w:val="zh-CN"/>
        </w:rPr>
        <w:t>参公事业编制</w:t>
      </w:r>
      <w:r>
        <w:rPr>
          <w:rFonts w:hint="eastAsia" w:ascii="宋体" w:hAnsi="宋体"/>
          <w:color w:val="auto"/>
          <w:sz w:val="24"/>
          <w:szCs w:val="24"/>
          <w:lang w:val="en-US" w:eastAsia="zh-CN"/>
        </w:rPr>
        <w:t>4人，事业编制人员4人</w:t>
      </w:r>
      <w:r>
        <w:rPr>
          <w:rFonts w:hint="eastAsia" w:ascii="宋体" w:hAnsi="宋体"/>
          <w:color w:val="auto"/>
          <w:sz w:val="24"/>
          <w:szCs w:val="24"/>
          <w:lang w:val="zh-CN" w:eastAsia="zh-CN"/>
        </w:rPr>
        <w:t>；</w:t>
      </w:r>
      <w:r>
        <w:rPr>
          <w:rFonts w:hint="eastAsia" w:ascii="宋体" w:hAnsi="宋体"/>
          <w:color w:val="auto"/>
          <w:sz w:val="24"/>
          <w:szCs w:val="24"/>
          <w:lang w:val="zh-CN"/>
        </w:rPr>
        <w:t>财政供养总人数</w:t>
      </w:r>
      <w:r>
        <w:rPr>
          <w:rFonts w:hint="eastAsia" w:ascii="宋体" w:hAnsi="宋体"/>
          <w:color w:val="auto"/>
          <w:sz w:val="24"/>
          <w:szCs w:val="24"/>
          <w:lang w:val="en-US" w:eastAsia="zh-CN"/>
        </w:rPr>
        <w:t>16人，其中：在职人员15人，</w:t>
      </w:r>
      <w:r>
        <w:rPr>
          <w:rFonts w:hint="eastAsia" w:ascii="宋体" w:hAnsi="宋体"/>
          <w:color w:val="auto"/>
          <w:sz w:val="24"/>
          <w:szCs w:val="24"/>
          <w:lang w:val="zh-CN" w:eastAsia="zh-CN"/>
        </w:rPr>
        <w:t>雇佣人员</w:t>
      </w:r>
      <w:r>
        <w:rPr>
          <w:rFonts w:hint="eastAsia" w:ascii="宋体" w:hAnsi="宋体"/>
          <w:color w:val="auto"/>
          <w:sz w:val="24"/>
          <w:szCs w:val="24"/>
          <w:lang w:val="en-US" w:eastAsia="zh-CN"/>
        </w:rPr>
        <w:t>1人。</w:t>
      </w:r>
    </w:p>
    <w:p>
      <w:pPr>
        <w:pageBreakBefore w:val="0"/>
        <w:widowControl/>
        <w:kinsoku/>
        <w:wordWrap/>
        <w:overflowPunct/>
        <w:topLinePunct w:val="0"/>
        <w:autoSpaceDE/>
        <w:autoSpaceDN/>
        <w:bidi w:val="0"/>
        <w:adjustRightInd/>
        <w:snapToGrid/>
        <w:spacing w:before="100" w:beforeLines="0" w:after="100" w:afterLines="0"/>
        <w:ind w:firstLine="482" w:firstLineChars="200"/>
        <w:jc w:val="center"/>
        <w:textAlignment w:val="auto"/>
        <w:rPr>
          <w:rFonts w:hint="eastAsia" w:ascii="宋体" w:hAnsi="宋体"/>
          <w:color w:val="auto"/>
          <w:sz w:val="24"/>
          <w:szCs w:val="24"/>
          <w:lang w:val="zh-CN"/>
        </w:rPr>
      </w:pPr>
      <w:r>
        <w:rPr>
          <w:rFonts w:hint="eastAsia" w:ascii="宋体" w:hAnsi="宋体"/>
          <w:b/>
          <w:color w:val="auto"/>
          <w:sz w:val="24"/>
          <w:szCs w:val="24"/>
          <w:lang w:val="zh-CN"/>
        </w:rPr>
        <w:t>第二部分2023年度部门决算表</w:t>
      </w:r>
    </w:p>
    <w:p>
      <w:pPr>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一、收入支出决算总表（见附件）</w:t>
      </w:r>
    </w:p>
    <w:p>
      <w:pPr>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二、收入决算表（见附件）</w:t>
      </w:r>
    </w:p>
    <w:p>
      <w:pPr>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三、支出决算表（见附件）</w:t>
      </w:r>
    </w:p>
    <w:p>
      <w:pPr>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四、财政拨款收入支出决算总表（见附件）</w:t>
      </w:r>
    </w:p>
    <w:p>
      <w:pPr>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五、一般公共预算财政拨款支出决算表（见附件）</w:t>
      </w:r>
    </w:p>
    <w:p>
      <w:pPr>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六、一般公共预算财政拨款基本支出决算明细表（见附件）</w:t>
      </w:r>
    </w:p>
    <w:p>
      <w:pPr>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七、政府性基金预算财政拨款收入支出决算表（见附件）</w:t>
      </w:r>
    </w:p>
    <w:p>
      <w:pPr>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八、国有资本经营预算财政拨款支出决算表（见附件）</w:t>
      </w:r>
    </w:p>
    <w:p>
      <w:pPr>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九、财政拨款</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经费支出决算表（见附件）</w:t>
      </w:r>
    </w:p>
    <w:p>
      <w:pPr>
        <w:pageBreakBefore w:val="0"/>
        <w:widowControl/>
        <w:kinsoku/>
        <w:wordWrap/>
        <w:overflowPunct/>
        <w:topLinePunct w:val="0"/>
        <w:autoSpaceDE/>
        <w:autoSpaceDN/>
        <w:bidi w:val="0"/>
        <w:adjustRightInd/>
        <w:snapToGrid/>
        <w:spacing w:before="100" w:beforeLines="0" w:after="100" w:afterLines="0"/>
        <w:ind w:firstLine="482" w:firstLineChars="200"/>
        <w:jc w:val="center"/>
        <w:textAlignment w:val="auto"/>
        <w:rPr>
          <w:rFonts w:hint="eastAsia" w:ascii="宋体" w:hAnsi="宋体"/>
          <w:color w:val="auto"/>
          <w:sz w:val="24"/>
          <w:szCs w:val="24"/>
          <w:lang w:val="zh-CN"/>
        </w:rPr>
      </w:pPr>
      <w:r>
        <w:rPr>
          <w:rFonts w:hint="eastAsia" w:ascii="宋体" w:hAnsi="宋体"/>
          <w:b/>
          <w:color w:val="auto"/>
          <w:sz w:val="24"/>
          <w:szCs w:val="24"/>
          <w:lang w:val="zh-CN"/>
        </w:rPr>
        <w:t>第三部分2023年度部门决算情况说明</w:t>
      </w:r>
    </w:p>
    <w:p>
      <w:pPr>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一、收入支出决算总体情况说明</w:t>
      </w:r>
    </w:p>
    <w:p>
      <w:pPr>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2023年度收、支总计</w:t>
      </w:r>
      <w:r>
        <w:rPr>
          <w:rFonts w:hint="eastAsia" w:ascii="宋体" w:hAnsi="宋体"/>
          <w:color w:val="auto"/>
          <w:sz w:val="24"/>
          <w:szCs w:val="24"/>
          <w:lang w:val="en-US"/>
        </w:rPr>
        <w:t>均为</w:t>
      </w:r>
      <w:r>
        <w:rPr>
          <w:rFonts w:hint="eastAsia" w:ascii="宋体" w:hAnsi="宋体"/>
          <w:color w:val="auto"/>
          <w:sz w:val="24"/>
          <w:szCs w:val="24"/>
          <w:lang w:val="zh-CN"/>
        </w:rPr>
        <w:t>437.05万元。</w:t>
      </w:r>
      <w:r>
        <w:rPr>
          <w:rFonts w:hint="eastAsia" w:ascii="宋体" w:hAnsi="宋体"/>
          <w:color w:val="auto"/>
          <w:sz w:val="24"/>
          <w:szCs w:val="24"/>
          <w:lang w:val="en-US"/>
        </w:rPr>
        <w:t>与上年度相比,</w:t>
      </w:r>
      <w:r>
        <w:rPr>
          <w:rFonts w:hint="eastAsia" w:ascii="宋体" w:hAnsi="宋体"/>
          <w:color w:val="auto"/>
          <w:sz w:val="24"/>
          <w:szCs w:val="24"/>
          <w:lang w:val="zh-CN"/>
        </w:rPr>
        <w:t>收入</w:t>
      </w:r>
      <w:r>
        <w:rPr>
          <w:rFonts w:hint="eastAsia" w:ascii="宋体" w:hAnsi="宋体"/>
          <w:color w:val="auto"/>
          <w:sz w:val="24"/>
          <w:szCs w:val="24"/>
          <w:lang w:val="en-US" w:eastAsia="zh-CN"/>
        </w:rPr>
        <w:t>增加87.61</w:t>
      </w:r>
      <w:r>
        <w:rPr>
          <w:rFonts w:hint="eastAsia" w:ascii="宋体" w:hAnsi="宋体"/>
          <w:color w:val="auto"/>
          <w:sz w:val="24"/>
          <w:szCs w:val="24"/>
          <w:lang w:val="zh-CN"/>
        </w:rPr>
        <w:t>万元、增加25.07</w:t>
      </w:r>
      <w:r>
        <w:rPr>
          <w:rFonts w:hint="eastAsia" w:ascii="宋体" w:hAnsi="宋体"/>
          <w:color w:val="auto"/>
          <w:sz w:val="24"/>
          <w:szCs w:val="24"/>
          <w:lang w:val="en-US" w:eastAsia="zh-CN"/>
        </w:rPr>
        <w:t>%</w:t>
      </w:r>
      <w:r>
        <w:rPr>
          <w:rFonts w:hint="eastAsia" w:ascii="宋体" w:hAnsi="宋体"/>
          <w:color w:val="auto"/>
          <w:sz w:val="24"/>
          <w:szCs w:val="24"/>
          <w:lang w:val="zh-CN"/>
        </w:rPr>
        <w:t>，支出</w:t>
      </w:r>
      <w:r>
        <w:rPr>
          <w:rFonts w:hint="eastAsia" w:ascii="宋体" w:hAnsi="宋体"/>
          <w:color w:val="auto"/>
          <w:sz w:val="24"/>
          <w:szCs w:val="24"/>
          <w:lang w:val="en-US" w:eastAsia="zh-CN"/>
        </w:rPr>
        <w:t>增加191.82</w:t>
      </w:r>
      <w:r>
        <w:rPr>
          <w:rFonts w:hint="eastAsia" w:ascii="宋体" w:hAnsi="宋体"/>
          <w:color w:val="auto"/>
          <w:sz w:val="24"/>
          <w:szCs w:val="24"/>
          <w:lang w:val="zh-CN"/>
        </w:rPr>
        <w:t>万元、增加</w:t>
      </w:r>
      <w:r>
        <w:rPr>
          <w:rFonts w:hint="eastAsia" w:ascii="宋体" w:hAnsi="宋体"/>
          <w:color w:val="auto"/>
          <w:sz w:val="24"/>
          <w:szCs w:val="24"/>
          <w:lang w:val="en-US" w:eastAsia="zh-CN"/>
        </w:rPr>
        <w:t>78.22%。</w:t>
      </w:r>
      <w:r>
        <w:rPr>
          <w:rFonts w:hint="eastAsia" w:ascii="宋体" w:hAnsi="宋体"/>
          <w:color w:val="auto"/>
          <w:sz w:val="24"/>
          <w:szCs w:val="24"/>
          <w:lang w:val="zh-CN"/>
        </w:rPr>
        <w:t>主要原因是</w:t>
      </w:r>
      <w:r>
        <w:rPr>
          <w:rFonts w:hint="eastAsia" w:ascii="宋体" w:hAnsi="宋体"/>
          <w:color w:val="auto"/>
          <w:sz w:val="24"/>
          <w:szCs w:val="24"/>
          <w:lang w:val="en-US" w:eastAsia="zh-CN"/>
        </w:rPr>
        <w:t>2023年</w:t>
      </w:r>
      <w:r>
        <w:rPr>
          <w:rFonts w:hint="eastAsia" w:ascii="宋体" w:hAnsi="宋体"/>
          <w:color w:val="auto"/>
          <w:sz w:val="24"/>
          <w:szCs w:val="24"/>
          <w:lang w:val="zh-CN"/>
        </w:rPr>
        <w:t>部分项目审计结束，</w:t>
      </w:r>
      <w:r>
        <w:rPr>
          <w:rFonts w:hint="eastAsia" w:ascii="宋体" w:hAnsi="宋体"/>
          <w:color w:val="auto"/>
          <w:sz w:val="24"/>
          <w:szCs w:val="24"/>
          <w:lang w:val="en-US" w:eastAsia="zh-CN"/>
        </w:rPr>
        <w:t>增加拨付历年项目资金欠款，清退部分公共租赁住房住户，退还公租房租金</w:t>
      </w:r>
      <w:r>
        <w:rPr>
          <w:rFonts w:hint="eastAsia" w:ascii="宋体" w:hAnsi="宋体"/>
          <w:color w:val="auto"/>
          <w:sz w:val="24"/>
          <w:szCs w:val="24"/>
          <w:lang w:val="zh-CN"/>
        </w:rPr>
        <w:t>。</w:t>
      </w:r>
    </w:p>
    <w:p>
      <w:pPr>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二、收入决算情况说明</w:t>
      </w:r>
    </w:p>
    <w:p>
      <w:pPr>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2023年度收入合计437.05万元,其中：财政拨款收入437.05万元,占100.00%。</w:t>
      </w:r>
    </w:p>
    <w:p>
      <w:pPr>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三、支出决算情况说明</w:t>
      </w:r>
    </w:p>
    <w:p>
      <w:pPr>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2023年度支出合计437.05万元,其中：基本支出213.62万元,占48.88%；项目支出223.43万元,占51.12%。</w:t>
      </w:r>
    </w:p>
    <w:p>
      <w:pPr>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四、财政拨款收入支出决算总体情况说明</w:t>
      </w:r>
    </w:p>
    <w:p>
      <w:pPr>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2023年度财政拨款收、支总计</w:t>
      </w:r>
      <w:r>
        <w:rPr>
          <w:rFonts w:hint="eastAsia" w:ascii="宋体" w:hAnsi="宋体"/>
          <w:color w:val="auto"/>
          <w:sz w:val="24"/>
          <w:szCs w:val="24"/>
          <w:lang w:val="en-US"/>
        </w:rPr>
        <w:t>均为</w:t>
      </w:r>
      <w:r>
        <w:rPr>
          <w:rFonts w:hint="eastAsia" w:ascii="宋体" w:hAnsi="宋体"/>
          <w:color w:val="auto"/>
          <w:sz w:val="24"/>
          <w:szCs w:val="24"/>
          <w:lang w:val="zh-CN"/>
        </w:rPr>
        <w:t>437.05万元。</w:t>
      </w:r>
      <w:r>
        <w:rPr>
          <w:rFonts w:hint="eastAsia" w:ascii="宋体" w:hAnsi="宋体"/>
          <w:color w:val="auto"/>
          <w:sz w:val="24"/>
          <w:szCs w:val="24"/>
          <w:lang w:val="en-US"/>
        </w:rPr>
        <w:t>与上年度相比,</w:t>
      </w:r>
      <w:r>
        <w:rPr>
          <w:rFonts w:hint="eastAsia" w:ascii="宋体" w:hAnsi="宋体"/>
          <w:color w:val="auto"/>
          <w:sz w:val="24"/>
          <w:szCs w:val="24"/>
          <w:lang w:val="zh-CN"/>
        </w:rPr>
        <w:t>收入</w:t>
      </w:r>
      <w:r>
        <w:rPr>
          <w:rFonts w:hint="eastAsia" w:ascii="宋体" w:hAnsi="宋体"/>
          <w:color w:val="auto"/>
          <w:sz w:val="24"/>
          <w:szCs w:val="24"/>
          <w:lang w:val="en-US" w:eastAsia="zh-CN"/>
        </w:rPr>
        <w:t>增加87.61</w:t>
      </w:r>
      <w:r>
        <w:rPr>
          <w:rFonts w:hint="eastAsia" w:ascii="宋体" w:hAnsi="宋体"/>
          <w:color w:val="auto"/>
          <w:sz w:val="24"/>
          <w:szCs w:val="24"/>
          <w:lang w:val="zh-CN"/>
        </w:rPr>
        <w:t>万元、增加25.07</w:t>
      </w:r>
      <w:r>
        <w:rPr>
          <w:rFonts w:hint="eastAsia" w:ascii="宋体" w:hAnsi="宋体"/>
          <w:color w:val="auto"/>
          <w:sz w:val="24"/>
          <w:szCs w:val="24"/>
          <w:lang w:val="en-US" w:eastAsia="zh-CN"/>
        </w:rPr>
        <w:t>%</w:t>
      </w:r>
      <w:r>
        <w:rPr>
          <w:rFonts w:hint="eastAsia" w:ascii="宋体" w:hAnsi="宋体"/>
          <w:color w:val="auto"/>
          <w:sz w:val="24"/>
          <w:szCs w:val="24"/>
          <w:lang w:val="zh-CN"/>
        </w:rPr>
        <w:t>，支出</w:t>
      </w:r>
      <w:r>
        <w:rPr>
          <w:rFonts w:hint="eastAsia" w:ascii="宋体" w:hAnsi="宋体"/>
          <w:color w:val="auto"/>
          <w:sz w:val="24"/>
          <w:szCs w:val="24"/>
          <w:lang w:val="en-US" w:eastAsia="zh-CN"/>
        </w:rPr>
        <w:t>增加191.82</w:t>
      </w:r>
      <w:r>
        <w:rPr>
          <w:rFonts w:hint="eastAsia" w:ascii="宋体" w:hAnsi="宋体"/>
          <w:color w:val="auto"/>
          <w:sz w:val="24"/>
          <w:szCs w:val="24"/>
          <w:lang w:val="zh-CN"/>
        </w:rPr>
        <w:t>万元、增加</w:t>
      </w:r>
      <w:r>
        <w:rPr>
          <w:rFonts w:hint="eastAsia" w:ascii="宋体" w:hAnsi="宋体"/>
          <w:color w:val="auto"/>
          <w:sz w:val="24"/>
          <w:szCs w:val="24"/>
          <w:lang w:val="en-US" w:eastAsia="zh-CN"/>
        </w:rPr>
        <w:t>78.22%。</w:t>
      </w:r>
      <w:r>
        <w:rPr>
          <w:rFonts w:hint="eastAsia" w:ascii="宋体" w:hAnsi="宋体"/>
          <w:color w:val="auto"/>
          <w:sz w:val="24"/>
          <w:szCs w:val="24"/>
          <w:lang w:val="zh-CN"/>
        </w:rPr>
        <w:t>主要原因是</w:t>
      </w:r>
      <w:r>
        <w:rPr>
          <w:rFonts w:hint="eastAsia" w:ascii="宋体" w:hAnsi="宋体"/>
          <w:color w:val="auto"/>
          <w:sz w:val="24"/>
          <w:szCs w:val="24"/>
          <w:lang w:val="en-US" w:eastAsia="zh-CN"/>
        </w:rPr>
        <w:t>2023年</w:t>
      </w:r>
      <w:r>
        <w:rPr>
          <w:rFonts w:hint="eastAsia" w:ascii="宋体" w:hAnsi="宋体"/>
          <w:color w:val="auto"/>
          <w:sz w:val="24"/>
          <w:szCs w:val="24"/>
          <w:lang w:val="zh-CN"/>
        </w:rPr>
        <w:t>部分项目审计结束，</w:t>
      </w:r>
      <w:r>
        <w:rPr>
          <w:rFonts w:hint="eastAsia" w:ascii="宋体" w:hAnsi="宋体"/>
          <w:color w:val="auto"/>
          <w:sz w:val="24"/>
          <w:szCs w:val="24"/>
          <w:lang w:val="en-US" w:eastAsia="zh-CN"/>
        </w:rPr>
        <w:t>增加拨付历年项目资金欠款，清退部分公共租赁住房住户，退还剩余公租房租金</w:t>
      </w:r>
      <w:r>
        <w:rPr>
          <w:rFonts w:hint="eastAsia" w:ascii="宋体" w:hAnsi="宋体"/>
          <w:color w:val="auto"/>
          <w:sz w:val="24"/>
          <w:szCs w:val="24"/>
          <w:lang w:val="zh-CN"/>
        </w:rPr>
        <w:t>。</w:t>
      </w:r>
    </w:p>
    <w:p>
      <w:pPr>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五、一般公共预算财政拨款支出决算情况说明</w:t>
      </w:r>
    </w:p>
    <w:p>
      <w:pPr>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（一）一般公共预算财政拨款支出决算总体情况</w:t>
      </w:r>
    </w:p>
    <w:p>
      <w:pPr>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2023年度一般公共预算财政拨款支出437.05万元,较上年决算数</w:t>
      </w:r>
      <w:r>
        <w:rPr>
          <w:rFonts w:hint="eastAsia" w:ascii="宋体" w:hAnsi="宋体"/>
          <w:color w:val="auto"/>
          <w:sz w:val="24"/>
          <w:szCs w:val="24"/>
          <w:lang w:val="en-US" w:eastAsia="zh-CN"/>
        </w:rPr>
        <w:t>增加191.82</w:t>
      </w:r>
      <w:r>
        <w:rPr>
          <w:rFonts w:hint="eastAsia" w:ascii="宋体" w:hAnsi="宋体"/>
          <w:color w:val="auto"/>
          <w:sz w:val="24"/>
          <w:szCs w:val="24"/>
          <w:lang w:val="zh-CN"/>
        </w:rPr>
        <w:t>万元、增加</w:t>
      </w:r>
      <w:r>
        <w:rPr>
          <w:rFonts w:hint="eastAsia" w:ascii="宋体" w:hAnsi="宋体"/>
          <w:color w:val="auto"/>
          <w:sz w:val="24"/>
          <w:szCs w:val="24"/>
          <w:lang w:val="en-US" w:eastAsia="zh-CN"/>
        </w:rPr>
        <w:t>78.22%</w:t>
      </w:r>
      <w:r>
        <w:rPr>
          <w:rFonts w:hint="eastAsia" w:ascii="宋体" w:hAnsi="宋体"/>
          <w:color w:val="auto"/>
          <w:sz w:val="24"/>
          <w:szCs w:val="24"/>
          <w:lang w:val="zh-CN"/>
        </w:rPr>
        <w:t>。</w:t>
      </w:r>
      <w:r>
        <w:rPr>
          <w:rFonts w:hint="eastAsia" w:ascii="宋体" w:hAnsi="宋体"/>
          <w:color w:val="auto"/>
          <w:sz w:val="24"/>
          <w:szCs w:val="24"/>
          <w:lang w:val="en-US" w:eastAsia="zh-CN"/>
        </w:rPr>
        <w:t>2023年</w:t>
      </w:r>
      <w:r>
        <w:rPr>
          <w:rFonts w:hint="eastAsia" w:ascii="宋体" w:hAnsi="宋体"/>
          <w:color w:val="auto"/>
          <w:sz w:val="24"/>
          <w:szCs w:val="24"/>
          <w:lang w:val="zh-CN"/>
        </w:rPr>
        <w:t>部分项目审计结束，</w:t>
      </w:r>
      <w:r>
        <w:rPr>
          <w:rFonts w:hint="eastAsia" w:ascii="宋体" w:hAnsi="宋体"/>
          <w:color w:val="auto"/>
          <w:sz w:val="24"/>
          <w:szCs w:val="24"/>
          <w:lang w:val="en-US" w:eastAsia="zh-CN"/>
        </w:rPr>
        <w:t>增加拨付历年项目资金欠款，清退部分公共租赁住房住户，退还剩余公租房租金</w:t>
      </w:r>
      <w:r>
        <w:rPr>
          <w:rFonts w:hint="eastAsia" w:ascii="宋体" w:hAnsi="宋体"/>
          <w:color w:val="auto"/>
          <w:sz w:val="24"/>
          <w:szCs w:val="24"/>
          <w:lang w:val="zh-CN"/>
        </w:rPr>
        <w:t>。</w:t>
      </w:r>
    </w:p>
    <w:p>
      <w:pPr>
        <w:pageBreakBefore w:val="0"/>
        <w:widowControl/>
        <w:numPr>
          <w:ilvl w:val="0"/>
          <w:numId w:val="1"/>
        </w:numPr>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一般公共预算财政拨款支出决算结构情况</w:t>
      </w:r>
    </w:p>
    <w:p>
      <w:pPr>
        <w:pageBreakBefore w:val="0"/>
        <w:widowControl/>
        <w:numPr>
          <w:ilvl w:val="0"/>
          <w:numId w:val="0"/>
        </w:numPr>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en-US" w:eastAsia="zh-CN"/>
        </w:rPr>
        <w:t>2023年度一般公共预算财政拨款支出</w:t>
      </w:r>
      <w:r>
        <w:rPr>
          <w:rFonts w:hint="eastAsia" w:ascii="宋体" w:hAnsi="宋体"/>
          <w:color w:val="auto"/>
          <w:sz w:val="24"/>
          <w:szCs w:val="24"/>
          <w:lang w:val="zh-CN"/>
        </w:rPr>
        <w:t>437.05万元，主要用于以下方面：社会保障和就业支出13.12万元,占3.0%；卫生健康支出7.98万元,占1.83%；城乡社区支出339.77万元,占77.74%；农林水支出2.75万元,占0.63%；住房保障支出73.43万元,占16.8%。</w:t>
      </w:r>
    </w:p>
    <w:p>
      <w:pPr>
        <w:pageBreakBefore w:val="0"/>
        <w:widowControl/>
        <w:numPr>
          <w:ilvl w:val="0"/>
          <w:numId w:val="1"/>
        </w:numPr>
        <w:kinsoku/>
        <w:wordWrap/>
        <w:overflowPunct/>
        <w:topLinePunct w:val="0"/>
        <w:autoSpaceDE/>
        <w:autoSpaceDN/>
        <w:bidi w:val="0"/>
        <w:adjustRightInd/>
        <w:snapToGrid/>
        <w:spacing w:before="100" w:beforeLines="0" w:after="100" w:afterLines="0"/>
        <w:ind w:left="0" w:leftChars="0"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一般公共预算财政拨款支出决算具体情况。</w:t>
      </w:r>
    </w:p>
    <w:p>
      <w:pPr>
        <w:pageBreakBefore w:val="0"/>
        <w:widowControl/>
        <w:numPr>
          <w:ilvl w:val="0"/>
          <w:numId w:val="0"/>
        </w:numPr>
        <w:kinsoku/>
        <w:wordWrap/>
        <w:overflowPunct/>
        <w:topLinePunct w:val="0"/>
        <w:autoSpaceDE/>
        <w:autoSpaceDN/>
        <w:bidi w:val="0"/>
        <w:adjustRightInd/>
        <w:snapToGrid/>
        <w:spacing w:before="100" w:beforeLines="0" w:after="100" w:afterLines="0"/>
        <w:ind w:leftChars="0"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en-US" w:eastAsia="zh-CN"/>
        </w:rPr>
        <w:t>2023年度一般公共预算财政拨款支出年初预算为</w:t>
      </w:r>
      <w:r>
        <w:rPr>
          <w:rFonts w:hint="eastAsia" w:ascii="宋体" w:hAnsi="宋体"/>
          <w:color w:val="auto"/>
          <w:sz w:val="24"/>
          <w:szCs w:val="24"/>
          <w:lang w:val="zh-CN"/>
        </w:rPr>
        <w:t>199.18万元,支出决算为437.05万元,完成年初预算的219.43%。其中：</w:t>
      </w:r>
    </w:p>
    <w:p>
      <w:pPr>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1</w:t>
      </w:r>
      <w:r>
        <w:rPr>
          <w:rFonts w:hint="eastAsia" w:ascii="宋体" w:hAnsi="宋体"/>
          <w:b/>
          <w:color w:val="auto"/>
          <w:sz w:val="24"/>
          <w:szCs w:val="24"/>
          <w:lang w:val="zh-CN"/>
        </w:rPr>
        <w:t>．社会保障和就业支出</w:t>
      </w:r>
      <w:r>
        <w:rPr>
          <w:rFonts w:hint="eastAsia" w:ascii="宋体" w:hAnsi="宋体"/>
          <w:color w:val="auto"/>
          <w:sz w:val="24"/>
          <w:szCs w:val="24"/>
          <w:lang w:val="zh-CN"/>
        </w:rPr>
        <w:t>年初预算数为23.69万元,支出决算为13.12万元,完成年初预算的55.39%,决算数小于预算数的</w:t>
      </w:r>
      <w:r>
        <w:rPr>
          <w:rFonts w:hint="eastAsia" w:ascii="宋体" w:hAnsi="宋体"/>
          <w:color w:val="auto"/>
          <w:sz w:val="24"/>
          <w:szCs w:val="24"/>
          <w:lang w:val="zh-CN"/>
        </w:rPr>
        <w:t>主要原因是</w:t>
      </w:r>
      <w:r>
        <w:rPr>
          <w:rFonts w:hint="eastAsia" w:ascii="宋体" w:hAnsi="宋体"/>
          <w:color w:val="auto"/>
          <w:sz w:val="24"/>
          <w:szCs w:val="24"/>
          <w:lang w:val="zh-CN" w:eastAsia="zh-CN"/>
        </w:rPr>
        <w:t>年初预算以全体职工工资预算养老保险县级缴费，养老保险县级缴费资金只能给单位编制内人员缴费，不占编人员无法完成缴费，则支出小于年初预算</w:t>
      </w:r>
      <w:r>
        <w:rPr>
          <w:rFonts w:hint="eastAsia" w:ascii="宋体" w:hAnsi="宋体"/>
          <w:color w:val="auto"/>
          <w:sz w:val="24"/>
          <w:szCs w:val="24"/>
          <w:lang w:val="zh-CN"/>
        </w:rPr>
        <w:t>。</w:t>
      </w:r>
    </w:p>
    <w:p>
      <w:pPr>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color w:val="auto"/>
          <w:sz w:val="24"/>
          <w:szCs w:val="24"/>
          <w:lang w:val="zh-CN"/>
        </w:rPr>
      </w:pPr>
      <w:r>
        <w:rPr>
          <w:rFonts w:hint="eastAsia" w:ascii="Times New Roman" w:hAnsi="Times New Roman" w:eastAsia="宋体"/>
          <w:b/>
          <w:color w:val="auto"/>
          <w:sz w:val="24"/>
          <w:szCs w:val="24"/>
          <w:lang w:val="en-US" w:eastAsia="zh-CN"/>
        </w:rPr>
        <w:t>2</w:t>
      </w:r>
      <w:r>
        <w:rPr>
          <w:rFonts w:hint="eastAsia" w:ascii="宋体" w:hAnsi="宋体"/>
          <w:b/>
          <w:color w:val="auto"/>
          <w:sz w:val="24"/>
          <w:szCs w:val="24"/>
          <w:lang w:val="zh-CN"/>
        </w:rPr>
        <w:t>．卫生健康支出</w:t>
      </w:r>
      <w:r>
        <w:rPr>
          <w:rFonts w:hint="eastAsia" w:ascii="宋体" w:hAnsi="宋体"/>
          <w:color w:val="auto"/>
          <w:sz w:val="24"/>
          <w:szCs w:val="24"/>
          <w:lang w:val="zh-CN"/>
        </w:rPr>
        <w:t>年初预算数为8.58万元,支出决算为7.98万元,完成年初预算的93.09%,决算数小于预算数的</w:t>
      </w:r>
      <w:r>
        <w:rPr>
          <w:rFonts w:hint="eastAsia" w:ascii="宋体" w:hAnsi="宋体"/>
          <w:color w:val="auto"/>
          <w:sz w:val="24"/>
          <w:szCs w:val="24"/>
          <w:lang w:val="zh-CN"/>
        </w:rPr>
        <w:t>主要原因是县级财力困难，</w:t>
      </w:r>
      <w:r>
        <w:rPr>
          <w:rFonts w:hint="eastAsia" w:ascii="宋体" w:hAnsi="宋体"/>
          <w:color w:val="auto"/>
          <w:sz w:val="24"/>
          <w:szCs w:val="24"/>
          <w:lang w:val="en-US" w:eastAsia="zh-CN"/>
        </w:rPr>
        <w:t>2023年12月医疗保险</w:t>
      </w:r>
      <w:r>
        <w:rPr>
          <w:rFonts w:hint="eastAsia" w:ascii="宋体" w:hAnsi="宋体"/>
          <w:color w:val="auto"/>
          <w:sz w:val="24"/>
          <w:szCs w:val="24"/>
          <w:lang w:val="zh-CN" w:eastAsia="zh-CN"/>
        </w:rPr>
        <w:t>县级缴费资金</w:t>
      </w:r>
      <w:r>
        <w:rPr>
          <w:rFonts w:hint="eastAsia" w:ascii="宋体" w:hAnsi="宋体"/>
          <w:color w:val="auto"/>
          <w:sz w:val="24"/>
          <w:szCs w:val="24"/>
          <w:lang w:val="en-US" w:eastAsia="zh-CN"/>
        </w:rPr>
        <w:t>2023年未支付</w:t>
      </w:r>
      <w:r>
        <w:rPr>
          <w:rFonts w:hint="eastAsia" w:ascii="宋体" w:hAnsi="宋体"/>
          <w:color w:val="auto"/>
          <w:sz w:val="24"/>
          <w:szCs w:val="24"/>
          <w:lang w:val="zh-CN"/>
        </w:rPr>
        <w:t>。</w:t>
      </w:r>
    </w:p>
    <w:p>
      <w:pPr>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color w:val="auto"/>
          <w:sz w:val="24"/>
          <w:szCs w:val="24"/>
          <w:lang w:val="zh-CN"/>
        </w:rPr>
      </w:pPr>
      <w:r>
        <w:rPr>
          <w:rFonts w:hint="eastAsia" w:ascii="Times New Roman" w:hAnsi="Times New Roman" w:eastAsia="宋体"/>
          <w:b/>
          <w:color w:val="auto"/>
          <w:sz w:val="24"/>
          <w:szCs w:val="24"/>
          <w:lang w:val="en-US" w:eastAsia="zh-CN"/>
        </w:rPr>
        <w:t>3</w:t>
      </w:r>
      <w:r>
        <w:rPr>
          <w:rFonts w:hint="eastAsia" w:ascii="宋体" w:hAnsi="宋体"/>
          <w:b/>
          <w:color w:val="auto"/>
          <w:sz w:val="24"/>
          <w:szCs w:val="24"/>
          <w:lang w:val="zh-CN"/>
        </w:rPr>
        <w:t>．城乡社区支出</w:t>
      </w:r>
      <w:r>
        <w:rPr>
          <w:rFonts w:hint="eastAsia" w:ascii="宋体" w:hAnsi="宋体"/>
          <w:color w:val="auto"/>
          <w:sz w:val="24"/>
          <w:szCs w:val="24"/>
          <w:lang w:val="zh-CN"/>
        </w:rPr>
        <w:t>年初预算数为166.91万元,支出决算为339.77万元,完成年初预算的203.56%,决算数大于预算数的</w:t>
      </w:r>
      <w:r>
        <w:rPr>
          <w:rFonts w:hint="eastAsia" w:ascii="宋体" w:hAnsi="宋体"/>
          <w:color w:val="auto"/>
          <w:sz w:val="24"/>
          <w:szCs w:val="24"/>
          <w:lang w:val="zh-CN"/>
        </w:rPr>
        <w:t>主要原因是</w:t>
      </w:r>
      <w:r>
        <w:rPr>
          <w:rFonts w:hint="eastAsia" w:ascii="宋体" w:hAnsi="宋体"/>
          <w:color w:val="auto"/>
          <w:sz w:val="24"/>
          <w:szCs w:val="24"/>
          <w:lang w:val="en-US" w:eastAsia="zh-CN"/>
        </w:rPr>
        <w:t>2023年</w:t>
      </w:r>
      <w:r>
        <w:rPr>
          <w:rFonts w:hint="eastAsia" w:ascii="宋体" w:hAnsi="宋体"/>
          <w:color w:val="auto"/>
          <w:sz w:val="24"/>
          <w:szCs w:val="24"/>
          <w:lang w:val="zh-CN"/>
        </w:rPr>
        <w:t>部分项目审计结束，</w:t>
      </w:r>
      <w:r>
        <w:rPr>
          <w:rFonts w:hint="eastAsia" w:ascii="宋体" w:hAnsi="宋体"/>
          <w:color w:val="auto"/>
          <w:sz w:val="24"/>
          <w:szCs w:val="24"/>
          <w:lang w:val="en-US" w:eastAsia="zh-CN"/>
        </w:rPr>
        <w:t>增加拨付历年项目资金欠款，清退部分公共租赁住房住户，退还剩余公租房租金</w:t>
      </w:r>
      <w:r>
        <w:rPr>
          <w:rFonts w:hint="eastAsia" w:ascii="宋体" w:hAnsi="宋体"/>
          <w:color w:val="auto"/>
          <w:sz w:val="24"/>
          <w:szCs w:val="24"/>
          <w:lang w:val="zh-CN"/>
        </w:rPr>
        <w:t>。</w:t>
      </w:r>
    </w:p>
    <w:p>
      <w:pPr>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color w:val="auto"/>
          <w:sz w:val="24"/>
          <w:szCs w:val="24"/>
          <w:lang w:val="zh-CN"/>
        </w:rPr>
      </w:pPr>
      <w:r>
        <w:rPr>
          <w:rFonts w:hint="eastAsia" w:ascii="Times New Roman" w:hAnsi="Times New Roman" w:eastAsia="宋体"/>
          <w:b/>
          <w:color w:val="auto"/>
          <w:sz w:val="24"/>
          <w:szCs w:val="24"/>
          <w:lang w:val="en-US" w:eastAsia="zh-CN"/>
        </w:rPr>
        <w:t>4</w:t>
      </w:r>
      <w:r>
        <w:rPr>
          <w:rFonts w:hint="eastAsia" w:ascii="宋体" w:hAnsi="宋体"/>
          <w:b/>
          <w:color w:val="auto"/>
          <w:sz w:val="24"/>
          <w:szCs w:val="24"/>
          <w:lang w:val="zh-CN"/>
        </w:rPr>
        <w:t>．农林水支出</w:t>
      </w:r>
      <w:r>
        <w:rPr>
          <w:rFonts w:hint="eastAsia" w:ascii="宋体" w:hAnsi="宋体"/>
          <w:color w:val="auto"/>
          <w:sz w:val="24"/>
          <w:szCs w:val="24"/>
          <w:lang w:val="zh-CN"/>
        </w:rPr>
        <w:t>年初预算数为0.00万元,支出决算为2.75万元,完成年初预算的%,决算数大于预算数的</w:t>
      </w:r>
      <w:r>
        <w:rPr>
          <w:rFonts w:hint="eastAsia" w:ascii="宋体" w:hAnsi="宋体"/>
          <w:color w:val="auto"/>
          <w:sz w:val="24"/>
          <w:szCs w:val="24"/>
          <w:lang w:val="zh-CN"/>
        </w:rPr>
        <w:t>主要原因是农林水支出为驻村人员工作补助经费，年初未进行预算，年内支付资金为上级专项资金及县级配套资金。</w:t>
      </w:r>
    </w:p>
    <w:p>
      <w:pPr>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color w:val="auto"/>
          <w:sz w:val="24"/>
          <w:szCs w:val="24"/>
          <w:lang w:val="zh-CN"/>
        </w:rPr>
      </w:pPr>
      <w:r>
        <w:rPr>
          <w:rFonts w:hint="eastAsia" w:ascii="Times New Roman" w:hAnsi="Times New Roman" w:eastAsia="宋体"/>
          <w:b/>
          <w:color w:val="auto"/>
          <w:sz w:val="24"/>
          <w:szCs w:val="24"/>
          <w:lang w:val="en-US" w:eastAsia="zh-CN"/>
        </w:rPr>
        <w:t>5</w:t>
      </w:r>
      <w:r>
        <w:rPr>
          <w:rFonts w:hint="eastAsia" w:ascii="宋体" w:hAnsi="宋体"/>
          <w:b/>
          <w:color w:val="auto"/>
          <w:sz w:val="24"/>
          <w:szCs w:val="24"/>
          <w:lang w:val="zh-CN"/>
        </w:rPr>
        <w:t>．住房保障支出</w:t>
      </w:r>
      <w:r>
        <w:rPr>
          <w:rFonts w:hint="eastAsia" w:ascii="宋体" w:hAnsi="宋体"/>
          <w:color w:val="auto"/>
          <w:sz w:val="24"/>
          <w:szCs w:val="24"/>
          <w:lang w:val="zh-CN"/>
        </w:rPr>
        <w:t>年初预算数为0.00万元,支出决算为73.43万元,完成年初预算的%,决算数大于预算数的</w:t>
      </w:r>
      <w:r>
        <w:rPr>
          <w:rFonts w:hint="eastAsia" w:ascii="宋体" w:hAnsi="宋体"/>
          <w:color w:val="auto"/>
          <w:sz w:val="24"/>
          <w:szCs w:val="24"/>
          <w:lang w:val="zh-CN"/>
        </w:rPr>
        <w:t>主要原因是主要原因是年初未将城镇保障性安居工程住房租赁补贴项目列入年初预算，支付资金为上级专项拨款资金，年内部分项目审计结束，</w:t>
      </w:r>
      <w:r>
        <w:rPr>
          <w:rFonts w:hint="eastAsia" w:ascii="宋体" w:hAnsi="宋体"/>
          <w:color w:val="auto"/>
          <w:sz w:val="24"/>
          <w:szCs w:val="24"/>
          <w:lang w:val="en-US" w:eastAsia="zh-CN"/>
        </w:rPr>
        <w:t>增加拨付历年项目资金欠款</w:t>
      </w:r>
      <w:r>
        <w:rPr>
          <w:rFonts w:hint="eastAsia" w:ascii="宋体" w:hAnsi="宋体"/>
          <w:color w:val="auto"/>
          <w:sz w:val="24"/>
          <w:szCs w:val="24"/>
          <w:lang w:val="zh-CN"/>
        </w:rPr>
        <w:t>。</w:t>
      </w:r>
    </w:p>
    <w:p>
      <w:pPr>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六、一般公共预算财政拨款基本支出决算情况说明</w:t>
      </w:r>
    </w:p>
    <w:p>
      <w:pPr>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2023年度一般公共预算财政拨款基本支出213.62万元。其中：</w:t>
      </w:r>
    </w:p>
    <w:p>
      <w:pPr>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color w:val="auto"/>
          <w:sz w:val="24"/>
          <w:szCs w:val="24"/>
          <w:lang w:val="zh-CN"/>
        </w:rPr>
      </w:pPr>
      <w:r>
        <w:rPr>
          <w:rFonts w:hint="eastAsia" w:ascii="宋体" w:hAnsi="宋体"/>
          <w:b/>
          <w:color w:val="auto"/>
          <w:sz w:val="24"/>
          <w:szCs w:val="24"/>
          <w:lang w:val="zh-CN"/>
        </w:rPr>
        <w:t>人员经费</w:t>
      </w:r>
      <w:r>
        <w:rPr>
          <w:rFonts w:hint="eastAsia" w:ascii="宋体" w:hAnsi="宋体"/>
          <w:color w:val="auto"/>
          <w:sz w:val="24"/>
          <w:szCs w:val="24"/>
          <w:lang w:val="zh-CN"/>
        </w:rPr>
        <w:t>188.96万元,较上年决算数增加</w:t>
      </w:r>
      <w:r>
        <w:rPr>
          <w:rFonts w:hint="eastAsia" w:ascii="宋体" w:hAnsi="宋体"/>
          <w:color w:val="auto"/>
          <w:sz w:val="24"/>
          <w:szCs w:val="24"/>
          <w:lang w:val="en-US" w:eastAsia="zh-CN"/>
        </w:rPr>
        <w:t>17.17</w:t>
      </w:r>
      <w:r>
        <w:rPr>
          <w:rFonts w:hint="eastAsia" w:ascii="宋体" w:hAnsi="宋体"/>
          <w:color w:val="auto"/>
          <w:sz w:val="24"/>
          <w:szCs w:val="24"/>
          <w:lang w:val="zh-CN"/>
        </w:rPr>
        <w:t>万元,增加</w:t>
      </w:r>
      <w:r>
        <w:rPr>
          <w:rFonts w:hint="eastAsia" w:ascii="宋体" w:hAnsi="宋体"/>
          <w:color w:val="auto"/>
          <w:sz w:val="24"/>
          <w:szCs w:val="24"/>
          <w:lang w:val="en-US" w:eastAsia="zh-CN"/>
        </w:rPr>
        <w:t>9.99</w:t>
      </w:r>
      <w:r>
        <w:rPr>
          <w:rFonts w:hint="eastAsia" w:ascii="宋体" w:hAnsi="宋体"/>
          <w:color w:val="auto"/>
          <w:sz w:val="24"/>
          <w:szCs w:val="24"/>
          <w:lang w:val="zh-CN"/>
        </w:rPr>
        <w:t>%,</w:t>
      </w:r>
      <w:r>
        <w:rPr>
          <w:rFonts w:hint="eastAsia" w:ascii="宋体" w:hAnsi="宋体"/>
          <w:color w:val="auto"/>
          <w:sz w:val="24"/>
          <w:szCs w:val="24"/>
          <w:lang w:val="zh-CN"/>
        </w:rPr>
        <w:t>主要原因是</w:t>
      </w:r>
      <w:r>
        <w:rPr>
          <w:rFonts w:hint="eastAsia" w:ascii="宋体" w:hAnsi="宋体"/>
          <w:color w:val="auto"/>
          <w:sz w:val="24"/>
          <w:szCs w:val="24"/>
          <w:lang w:val="en-US" w:eastAsia="zh-CN"/>
        </w:rPr>
        <w:t>2022年无绩效工资，2023年增加绩效工资</w:t>
      </w:r>
      <w:r>
        <w:rPr>
          <w:rFonts w:hint="eastAsia" w:ascii="宋体" w:hAnsi="宋体"/>
          <w:color w:val="auto"/>
          <w:sz w:val="24"/>
          <w:szCs w:val="24"/>
          <w:lang w:val="zh-CN"/>
        </w:rPr>
        <w:t>。</w:t>
      </w:r>
      <w:r>
        <w:rPr>
          <w:rFonts w:hint="eastAsia" w:ascii="宋体" w:hAnsi="宋体"/>
          <w:color w:val="auto"/>
          <w:sz w:val="24"/>
          <w:szCs w:val="24"/>
          <w:lang w:val="zh-CN"/>
        </w:rPr>
        <w:t>人员经费用途</w:t>
      </w:r>
      <w:r>
        <w:rPr>
          <w:rFonts w:hint="eastAsia" w:ascii="宋体" w:hAnsi="宋体"/>
          <w:color w:val="auto"/>
          <w:sz w:val="24"/>
          <w:szCs w:val="24"/>
          <w:lang w:val="zh-CN"/>
        </w:rPr>
        <w:t>主要包括基本工资、津贴补贴、奖金、伙食补助费、绩效工资、机关事业单位基本养老保险缴费、职工基本医疗保险缴费、公务员医疗补助缴费、其他社会保障缴费、住房公积金、</w:t>
      </w:r>
      <w:r>
        <w:rPr>
          <w:rFonts w:hint="eastAsia" w:ascii="宋体" w:hAnsi="宋体"/>
          <w:color w:val="auto"/>
          <w:sz w:val="24"/>
          <w:szCs w:val="24"/>
          <w:lang w:val="zh-CN" w:eastAsia="zh-CN"/>
        </w:rPr>
        <w:t>医疗费、</w:t>
      </w:r>
      <w:r>
        <w:rPr>
          <w:rFonts w:hint="eastAsia" w:ascii="宋体" w:hAnsi="宋体"/>
          <w:color w:val="auto"/>
          <w:sz w:val="24"/>
          <w:szCs w:val="24"/>
          <w:lang w:val="zh-CN"/>
        </w:rPr>
        <w:t>其他工资福利支出</w:t>
      </w:r>
      <w:r>
        <w:rPr>
          <w:rFonts w:hint="eastAsia" w:ascii="宋体" w:hAnsi="宋体"/>
          <w:color w:val="auto"/>
          <w:sz w:val="24"/>
          <w:szCs w:val="24"/>
          <w:lang w:val="zh-CN" w:eastAsia="zh-CN"/>
        </w:rPr>
        <w:t>、对个人和家庭的补助</w:t>
      </w:r>
      <w:r>
        <w:rPr>
          <w:rFonts w:hint="eastAsia" w:ascii="宋体" w:hAnsi="宋体"/>
          <w:color w:val="auto"/>
          <w:sz w:val="24"/>
          <w:szCs w:val="24"/>
          <w:lang w:val="zh-CN"/>
        </w:rPr>
        <w:t>等。</w:t>
      </w:r>
    </w:p>
    <w:p>
      <w:pPr>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color w:val="auto"/>
          <w:sz w:val="24"/>
          <w:szCs w:val="24"/>
          <w:lang w:val="zh-CN"/>
        </w:rPr>
      </w:pPr>
      <w:r>
        <w:rPr>
          <w:rFonts w:hint="eastAsia" w:ascii="宋体" w:hAnsi="宋体"/>
          <w:b/>
          <w:color w:val="auto"/>
          <w:sz w:val="24"/>
          <w:szCs w:val="24"/>
          <w:lang w:val="zh-CN"/>
        </w:rPr>
        <w:t>公用经费</w:t>
      </w:r>
      <w:r>
        <w:rPr>
          <w:rFonts w:hint="eastAsia" w:ascii="宋体" w:hAnsi="宋体"/>
          <w:color w:val="auto"/>
          <w:sz w:val="24"/>
          <w:szCs w:val="24"/>
          <w:lang w:val="zh-CN"/>
        </w:rPr>
        <w:t>24.66万元,较上年决算数增加</w:t>
      </w:r>
      <w:r>
        <w:rPr>
          <w:rFonts w:hint="eastAsia" w:ascii="宋体" w:hAnsi="宋体"/>
          <w:color w:val="auto"/>
          <w:sz w:val="24"/>
          <w:szCs w:val="24"/>
          <w:lang w:val="en-US" w:eastAsia="zh-CN"/>
        </w:rPr>
        <w:t>13.16</w:t>
      </w:r>
      <w:r>
        <w:rPr>
          <w:rFonts w:hint="eastAsia" w:ascii="宋体" w:hAnsi="宋体"/>
          <w:color w:val="auto"/>
          <w:sz w:val="24"/>
          <w:szCs w:val="24"/>
          <w:lang w:val="zh-CN"/>
        </w:rPr>
        <w:t>万元,增加</w:t>
      </w:r>
      <w:r>
        <w:rPr>
          <w:rFonts w:hint="eastAsia" w:ascii="宋体" w:hAnsi="宋体"/>
          <w:color w:val="auto"/>
          <w:sz w:val="24"/>
          <w:szCs w:val="24"/>
          <w:lang w:val="en-US" w:eastAsia="zh-CN"/>
        </w:rPr>
        <w:t>114.4</w:t>
      </w:r>
      <w:r>
        <w:rPr>
          <w:rFonts w:hint="eastAsia" w:ascii="宋体" w:hAnsi="宋体"/>
          <w:color w:val="auto"/>
          <w:sz w:val="24"/>
          <w:szCs w:val="24"/>
          <w:lang w:val="zh-CN"/>
        </w:rPr>
        <w:t>%%,</w:t>
      </w:r>
      <w:r>
        <w:rPr>
          <w:rFonts w:hint="eastAsia" w:ascii="宋体" w:hAnsi="宋体"/>
          <w:color w:val="auto"/>
          <w:sz w:val="24"/>
          <w:szCs w:val="24"/>
          <w:lang w:val="zh-CN"/>
        </w:rPr>
        <w:t>主要原因</w:t>
      </w:r>
      <w:r>
        <w:rPr>
          <w:rFonts w:hint="eastAsia" w:ascii="宋体" w:hAnsi="宋体"/>
          <w:color w:val="auto"/>
          <w:sz w:val="24"/>
          <w:szCs w:val="24"/>
          <w:lang w:val="en-US" w:eastAsia="zh-CN"/>
        </w:rPr>
        <w:t>2023年清退部分公共租赁住房住户，退还剩余公租房租金。县财政财力困难，2023年支付2022年及2023年</w:t>
      </w:r>
      <w:r>
        <w:rPr>
          <w:rFonts w:hint="eastAsia" w:ascii="宋体" w:hAnsi="宋体"/>
          <w:color w:val="auto"/>
          <w:sz w:val="24"/>
          <w:szCs w:val="24"/>
          <w:lang w:val="zh-CN"/>
        </w:rPr>
        <w:t>驻村人员工作补助经费</w:t>
      </w:r>
      <w:r>
        <w:rPr>
          <w:rFonts w:hint="eastAsia" w:ascii="宋体" w:hAnsi="宋体"/>
          <w:color w:val="auto"/>
          <w:sz w:val="24"/>
          <w:szCs w:val="24"/>
          <w:lang w:val="zh-CN"/>
        </w:rPr>
        <w:t>。公用经费用途</w:t>
      </w:r>
      <w:r>
        <w:rPr>
          <w:rFonts w:hint="eastAsia" w:ascii="宋体" w:hAnsi="宋体"/>
          <w:color w:val="auto"/>
          <w:sz w:val="24"/>
          <w:szCs w:val="24"/>
          <w:lang w:val="zh-CN"/>
        </w:rPr>
        <w:t>主要包括办公费、印刷费、咨询费、手续费、水费、电费、邮电费、取暖费、物业管理费、差旅费、因公出国（境）费用、维修（护）费、租赁费、会议费、培训费、公务接待费、 被装购置费、劳务费、委托业务费、工会经费、福利费、其他交通费用、公务用车运行维护费、 税金及附加费用等。</w:t>
      </w:r>
    </w:p>
    <w:p>
      <w:pPr>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七、政府性基金预算财政拨款收支决算情况说明</w:t>
      </w:r>
    </w:p>
    <w:p>
      <w:pPr>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本部门2023年度无政府性基金收入,也没有使用政府性基金安排的支出。</w:t>
      </w:r>
    </w:p>
    <w:p>
      <w:pPr>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八、国有资本经营预算财政拨款支出情况说明</w:t>
      </w:r>
    </w:p>
    <w:p>
      <w:pPr>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本部门2023年度没有使用国有资本经营预算安排的支出。</w:t>
      </w:r>
    </w:p>
    <w:p>
      <w:pPr>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九</w:t>
      </w:r>
      <w:r>
        <w:rPr>
          <w:rFonts w:hint="eastAsia" w:ascii="宋体" w:hAnsi="宋体"/>
          <w:b/>
          <w:bCs/>
          <w:color w:val="auto"/>
          <w:sz w:val="24"/>
          <w:szCs w:val="24"/>
          <w:lang w:val="zh-CN" w:eastAsia="zh-CN"/>
        </w:rPr>
        <w:t>、财政拨款</w:t>
      </w:r>
      <w:r>
        <w:rPr>
          <w:rFonts w:hint="default" w:ascii="宋体" w:hAnsi="宋体"/>
          <w:b/>
          <w:bCs/>
          <w:color w:val="auto"/>
          <w:sz w:val="24"/>
          <w:szCs w:val="24"/>
          <w:lang w:val="zh-CN" w:eastAsia="zh-CN"/>
        </w:rPr>
        <w:t>“</w:t>
      </w:r>
      <w:r>
        <w:rPr>
          <w:rFonts w:hint="eastAsia" w:ascii="宋体" w:hAnsi="宋体"/>
          <w:b/>
          <w:bCs/>
          <w:color w:val="auto"/>
          <w:sz w:val="24"/>
          <w:szCs w:val="24"/>
          <w:lang w:val="zh-CN" w:eastAsia="zh-CN"/>
        </w:rPr>
        <w:t>三公</w:t>
      </w:r>
      <w:r>
        <w:rPr>
          <w:rFonts w:hint="default" w:ascii="宋体" w:hAnsi="宋体"/>
          <w:b/>
          <w:bCs/>
          <w:color w:val="auto"/>
          <w:sz w:val="24"/>
          <w:szCs w:val="24"/>
          <w:lang w:val="zh-CN" w:eastAsia="zh-CN"/>
        </w:rPr>
        <w:t>”</w:t>
      </w:r>
      <w:r>
        <w:rPr>
          <w:rFonts w:hint="eastAsia" w:ascii="宋体" w:hAnsi="宋体"/>
          <w:b/>
          <w:bCs/>
          <w:color w:val="auto"/>
          <w:sz w:val="24"/>
          <w:szCs w:val="24"/>
          <w:lang w:val="zh-CN" w:eastAsia="zh-CN"/>
        </w:rPr>
        <w:t>经费支出决算情况说明</w:t>
      </w:r>
    </w:p>
    <w:p>
      <w:pPr>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color w:val="auto"/>
          <w:sz w:val="24"/>
          <w:szCs w:val="24"/>
          <w:lang w:val="zh-CN"/>
        </w:rPr>
      </w:pPr>
      <w:r>
        <w:rPr>
          <w:rFonts w:hint="eastAsia" w:ascii="宋体" w:hAnsi="宋体"/>
          <w:b/>
          <w:color w:val="auto"/>
          <w:sz w:val="24"/>
          <w:szCs w:val="24"/>
          <w:lang w:val="zh-CN"/>
        </w:rPr>
        <w:t>(一)</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三公</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经费财政拨款支出总体情况说明</w:t>
      </w:r>
    </w:p>
    <w:p>
      <w:pPr>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2023年度</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经费支出</w:t>
      </w:r>
      <w:r>
        <w:rPr>
          <w:rFonts w:hint="eastAsia" w:ascii="宋体" w:hAnsi="宋体"/>
          <w:color w:val="auto"/>
          <w:sz w:val="24"/>
          <w:szCs w:val="24"/>
          <w:lang w:val="en-US"/>
        </w:rPr>
        <w:t>全年</w:t>
      </w:r>
      <w:r>
        <w:rPr>
          <w:rFonts w:hint="eastAsia" w:ascii="宋体" w:hAnsi="宋体"/>
          <w:color w:val="auto"/>
          <w:sz w:val="24"/>
          <w:szCs w:val="24"/>
          <w:lang w:val="zh-CN"/>
        </w:rPr>
        <w:t>预算数为0.15万元,支出决算为0.00万元,决算数小于预算数的</w:t>
      </w:r>
      <w:r>
        <w:rPr>
          <w:rFonts w:hint="eastAsia" w:ascii="宋体" w:hAnsi="宋体"/>
          <w:color w:val="auto"/>
          <w:sz w:val="24"/>
          <w:szCs w:val="24"/>
          <w:lang w:val="zh-CN"/>
        </w:rPr>
        <w:t>主要原因是我单位无公务用车，未发生公务用车运行维护费；</w:t>
      </w:r>
      <w:r>
        <w:rPr>
          <w:rFonts w:hint="eastAsia" w:ascii="宋体" w:hAnsi="宋体"/>
          <w:color w:val="auto"/>
          <w:sz w:val="24"/>
          <w:szCs w:val="24"/>
          <w:lang w:val="zh-CN" w:eastAsia="zh-CN"/>
        </w:rPr>
        <w:t>202</w:t>
      </w:r>
      <w:r>
        <w:rPr>
          <w:rFonts w:hint="eastAsia" w:ascii="宋体" w:hAnsi="宋体"/>
          <w:color w:val="auto"/>
          <w:sz w:val="24"/>
          <w:szCs w:val="24"/>
          <w:lang w:val="en-US" w:eastAsia="zh-CN"/>
        </w:rPr>
        <w:t>3</w:t>
      </w:r>
      <w:r>
        <w:rPr>
          <w:rFonts w:hint="eastAsia" w:ascii="宋体" w:hAnsi="宋体"/>
          <w:color w:val="auto"/>
          <w:sz w:val="24"/>
          <w:szCs w:val="24"/>
          <w:lang w:val="zh-CN" w:eastAsia="zh-CN"/>
        </w:rPr>
        <w:t>年无新增公务接待，未支出公务接待费</w:t>
      </w:r>
      <w:r>
        <w:rPr>
          <w:rFonts w:hint="eastAsia" w:ascii="宋体" w:hAnsi="宋体"/>
          <w:color w:val="auto"/>
          <w:sz w:val="24"/>
          <w:szCs w:val="24"/>
          <w:lang w:val="zh-CN"/>
        </w:rPr>
        <w:t>,</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减少0</w:t>
      </w:r>
      <w:r>
        <w:rPr>
          <w:rFonts w:hint="eastAsia" w:ascii="宋体" w:hAnsi="宋体"/>
          <w:color w:val="auto"/>
          <w:sz w:val="24"/>
          <w:szCs w:val="24"/>
          <w:lang w:val="zh-CN"/>
        </w:rPr>
        <w:t>万元</w:t>
      </w:r>
      <w:r>
        <w:rPr>
          <w:rFonts w:hint="eastAsia" w:ascii="宋体" w:hAnsi="宋体"/>
          <w:color w:val="auto"/>
          <w:sz w:val="24"/>
          <w:szCs w:val="24"/>
          <w:lang w:val="en-US"/>
        </w:rPr>
        <w:t>,</w:t>
      </w:r>
      <w:r>
        <w:rPr>
          <w:rFonts w:hint="eastAsia" w:ascii="宋体" w:hAnsi="宋体"/>
          <w:color w:val="auto"/>
          <w:sz w:val="24"/>
          <w:szCs w:val="24"/>
          <w:lang w:val="en-US" w:eastAsia="zh-CN"/>
        </w:rPr>
        <w:t>下降0</w:t>
      </w:r>
      <w:r>
        <w:rPr>
          <w:rFonts w:hint="eastAsia" w:ascii="宋体" w:hAnsi="宋体"/>
          <w:color w:val="auto"/>
          <w:sz w:val="24"/>
          <w:szCs w:val="24"/>
          <w:lang w:val="zh-CN"/>
        </w:rPr>
        <w:t>%</w:t>
      </w:r>
      <w:r>
        <w:rPr>
          <w:rFonts w:hint="eastAsia" w:ascii="宋体" w:hAnsi="宋体"/>
          <w:color w:val="auto"/>
          <w:sz w:val="24"/>
          <w:szCs w:val="24"/>
          <w:lang w:val="en-US"/>
        </w:rPr>
        <w:t>,</w:t>
      </w:r>
      <w:r>
        <w:rPr>
          <w:rFonts w:hint="eastAsia" w:ascii="宋体" w:hAnsi="宋体"/>
          <w:color w:val="auto"/>
          <w:sz w:val="24"/>
          <w:szCs w:val="24"/>
          <w:lang w:val="en-US"/>
        </w:rPr>
        <w:t>主要原因是</w:t>
      </w:r>
      <w:r>
        <w:rPr>
          <w:rFonts w:hint="eastAsia" w:ascii="宋体" w:hAnsi="宋体"/>
          <w:color w:val="auto"/>
          <w:sz w:val="24"/>
          <w:szCs w:val="24"/>
          <w:lang w:val="en-US" w:eastAsia="zh-CN"/>
        </w:rPr>
        <w:t>上年度未支出公务接待费，2023年实际也未发生公务接待业务</w:t>
      </w:r>
      <w:r>
        <w:rPr>
          <w:rFonts w:hint="eastAsia" w:ascii="宋体" w:hAnsi="宋体"/>
          <w:color w:val="auto"/>
          <w:sz w:val="24"/>
          <w:szCs w:val="24"/>
          <w:lang w:val="zh-CN"/>
        </w:rPr>
        <w:t>。</w:t>
      </w:r>
    </w:p>
    <w:p>
      <w:pPr>
        <w:pageBreakBefore w:val="0"/>
        <w:widowControl/>
        <w:numPr>
          <w:ilvl w:val="0"/>
          <w:numId w:val="2"/>
        </w:numPr>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b/>
          <w:color w:val="auto"/>
          <w:sz w:val="24"/>
          <w:szCs w:val="24"/>
          <w:lang w:val="zh-CN"/>
        </w:rPr>
      </w:pP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三公</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经费财政拨款支出决算具体情况说明</w:t>
      </w:r>
    </w:p>
    <w:p>
      <w:pPr>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1.</w:t>
      </w:r>
      <w:r>
        <w:rPr>
          <w:rFonts w:hint="eastAsia" w:ascii="宋体" w:hAnsi="宋体"/>
          <w:b/>
          <w:color w:val="auto"/>
          <w:sz w:val="24"/>
          <w:szCs w:val="24"/>
          <w:lang w:val="zh-CN"/>
        </w:rPr>
        <w:t>因公出国(境)费用</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预算数为0.00万元,支出决算为0.00万元,决算数小于预算数的</w:t>
      </w:r>
      <w:r>
        <w:rPr>
          <w:rFonts w:hint="eastAsia" w:ascii="宋体" w:hAnsi="宋体"/>
          <w:color w:val="auto"/>
          <w:sz w:val="24"/>
          <w:szCs w:val="24"/>
          <w:lang w:val="zh-CN"/>
        </w:rPr>
        <w:t>主要原因是我单位无因公出国(境)业务,</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减少0.0</w:t>
      </w:r>
      <w:r>
        <w:rPr>
          <w:rFonts w:hint="eastAsia" w:ascii="宋体" w:hAnsi="宋体"/>
          <w:color w:val="auto"/>
          <w:sz w:val="24"/>
          <w:szCs w:val="24"/>
          <w:lang w:val="zh-CN"/>
        </w:rPr>
        <w:t>万元</w:t>
      </w:r>
      <w:r>
        <w:rPr>
          <w:rFonts w:hint="eastAsia" w:ascii="宋体" w:hAnsi="宋体"/>
          <w:color w:val="auto"/>
          <w:sz w:val="24"/>
          <w:szCs w:val="24"/>
          <w:lang w:val="en-US"/>
        </w:rPr>
        <w:t>,</w:t>
      </w:r>
      <w:r>
        <w:rPr>
          <w:rFonts w:hint="eastAsia" w:ascii="宋体" w:hAnsi="宋体"/>
          <w:color w:val="auto"/>
          <w:sz w:val="24"/>
          <w:szCs w:val="24"/>
          <w:lang w:val="en-US" w:eastAsia="zh-CN"/>
        </w:rPr>
        <w:t>下降0</w:t>
      </w:r>
      <w:r>
        <w:rPr>
          <w:rFonts w:hint="eastAsia" w:ascii="宋体" w:hAnsi="宋体"/>
          <w:color w:val="auto"/>
          <w:sz w:val="24"/>
          <w:szCs w:val="24"/>
          <w:lang w:val="zh-CN"/>
        </w:rPr>
        <w:t>%。</w:t>
      </w:r>
    </w:p>
    <w:p>
      <w:pPr>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2.</w:t>
      </w:r>
      <w:r>
        <w:rPr>
          <w:rFonts w:hint="eastAsia" w:ascii="宋体" w:hAnsi="宋体"/>
          <w:b/>
          <w:color w:val="auto"/>
          <w:sz w:val="24"/>
          <w:szCs w:val="24"/>
          <w:lang w:val="zh-CN"/>
        </w:rPr>
        <w:t>公务用车购置及运行维护费</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预算数为0.00万元,支出决算为0.00万元,决算数小于预算数的</w:t>
      </w:r>
      <w:r>
        <w:rPr>
          <w:rFonts w:hint="eastAsia" w:ascii="宋体" w:hAnsi="宋体"/>
          <w:color w:val="auto"/>
          <w:sz w:val="24"/>
          <w:szCs w:val="24"/>
          <w:lang w:val="zh-CN"/>
        </w:rPr>
        <w:t>主要原因是我单位无公务用车，未发生公务用车运行维护费,较上年决算数</w:t>
      </w:r>
      <w:r>
        <w:rPr>
          <w:rFonts w:hint="eastAsia" w:ascii="宋体" w:hAnsi="宋体"/>
          <w:color w:val="auto"/>
          <w:sz w:val="24"/>
          <w:szCs w:val="24"/>
          <w:lang w:val="zh-CN" w:eastAsia="zh-CN"/>
        </w:rPr>
        <w:t>减少0.0</w:t>
      </w:r>
      <w:r>
        <w:rPr>
          <w:rFonts w:hint="eastAsia" w:ascii="宋体" w:hAnsi="宋体"/>
          <w:color w:val="auto"/>
          <w:sz w:val="24"/>
          <w:szCs w:val="24"/>
          <w:lang w:val="zh-CN"/>
        </w:rPr>
        <w:t>万元,</w:t>
      </w:r>
      <w:r>
        <w:rPr>
          <w:rFonts w:hint="eastAsia" w:ascii="宋体" w:hAnsi="宋体"/>
          <w:color w:val="auto"/>
          <w:sz w:val="24"/>
          <w:szCs w:val="24"/>
          <w:lang w:val="zh-CN" w:eastAsia="zh-CN"/>
        </w:rPr>
        <w:t>下降0</w:t>
      </w:r>
      <w:r>
        <w:rPr>
          <w:rFonts w:hint="eastAsia" w:ascii="宋体" w:hAnsi="宋体"/>
          <w:color w:val="auto"/>
          <w:sz w:val="24"/>
          <w:szCs w:val="24"/>
          <w:lang w:val="zh-CN"/>
        </w:rPr>
        <w:t>%。</w:t>
      </w:r>
    </w:p>
    <w:p>
      <w:pPr>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color w:val="auto"/>
          <w:sz w:val="24"/>
          <w:szCs w:val="24"/>
          <w:lang w:val="zh-CN"/>
        </w:rPr>
      </w:pPr>
      <w:r>
        <w:rPr>
          <w:rFonts w:hint="eastAsia" w:ascii="宋体" w:hAnsi="宋体"/>
          <w:b/>
          <w:color w:val="auto"/>
          <w:sz w:val="24"/>
          <w:szCs w:val="24"/>
          <w:lang w:val="zh-CN"/>
        </w:rPr>
        <w:t>其中：公务用车购置费</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预算数为0.00万元,支出决算为0.00万元,决算数小于预算数的</w:t>
      </w:r>
      <w:r>
        <w:rPr>
          <w:rFonts w:hint="eastAsia" w:ascii="宋体" w:hAnsi="宋体"/>
          <w:color w:val="auto"/>
          <w:sz w:val="24"/>
          <w:szCs w:val="24"/>
          <w:lang w:val="zh-CN"/>
        </w:rPr>
        <w:t>主要原因是我单位属二级预算参公事业单位,未安排配置公务用车，较上年决算数</w:t>
      </w:r>
      <w:r>
        <w:rPr>
          <w:rFonts w:hint="eastAsia" w:ascii="宋体" w:hAnsi="宋体"/>
          <w:color w:val="auto"/>
          <w:sz w:val="24"/>
          <w:szCs w:val="24"/>
          <w:lang w:val="zh-CN" w:eastAsia="zh-CN"/>
        </w:rPr>
        <w:t>减少</w:t>
      </w:r>
      <w:r>
        <w:rPr>
          <w:rFonts w:hint="eastAsia" w:ascii="宋体" w:hAnsi="宋体"/>
          <w:color w:val="auto"/>
          <w:sz w:val="24"/>
          <w:szCs w:val="24"/>
          <w:lang w:val="en-US" w:eastAsia="zh-CN"/>
        </w:rPr>
        <w:t>0.0</w:t>
      </w:r>
      <w:r>
        <w:rPr>
          <w:rFonts w:hint="eastAsia" w:ascii="宋体" w:hAnsi="宋体"/>
          <w:color w:val="auto"/>
          <w:sz w:val="24"/>
          <w:szCs w:val="24"/>
          <w:lang w:val="zh-CN"/>
        </w:rPr>
        <w:t>万元,</w:t>
      </w:r>
      <w:r>
        <w:rPr>
          <w:rFonts w:hint="eastAsia" w:ascii="宋体" w:hAnsi="宋体"/>
          <w:color w:val="auto"/>
          <w:sz w:val="24"/>
          <w:szCs w:val="24"/>
          <w:lang w:val="zh-CN" w:eastAsia="zh-CN"/>
        </w:rPr>
        <w:t>下降0</w:t>
      </w:r>
      <w:r>
        <w:rPr>
          <w:rFonts w:hint="eastAsia" w:ascii="宋体" w:hAnsi="宋体"/>
          <w:color w:val="auto"/>
          <w:sz w:val="24"/>
          <w:szCs w:val="24"/>
          <w:lang w:val="zh-CN"/>
        </w:rPr>
        <w:t>%。</w:t>
      </w:r>
    </w:p>
    <w:p>
      <w:pPr>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color w:val="auto"/>
          <w:sz w:val="24"/>
          <w:szCs w:val="24"/>
          <w:lang w:val="zh-CN"/>
        </w:rPr>
      </w:pPr>
      <w:r>
        <w:rPr>
          <w:rFonts w:hint="eastAsia" w:ascii="宋体" w:hAnsi="宋体"/>
          <w:b/>
          <w:color w:val="auto"/>
          <w:sz w:val="24"/>
          <w:szCs w:val="24"/>
          <w:lang w:val="zh-CN"/>
        </w:rPr>
        <w:t>公务用车运行维护费</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预算数为0.00万元,支出决算为0.00万元,决算数小于预算数的</w:t>
      </w:r>
      <w:r>
        <w:rPr>
          <w:rFonts w:hint="eastAsia" w:ascii="宋体" w:hAnsi="宋体"/>
          <w:color w:val="auto"/>
          <w:sz w:val="24"/>
          <w:szCs w:val="24"/>
          <w:lang w:val="zh-CN"/>
        </w:rPr>
        <w:t>主要原因是我单位无公务用车，未发生公务用车运行维护费,较上年决算数</w:t>
      </w:r>
      <w:r>
        <w:rPr>
          <w:rFonts w:hint="eastAsia" w:ascii="宋体" w:hAnsi="宋体"/>
          <w:color w:val="auto"/>
          <w:sz w:val="24"/>
          <w:szCs w:val="24"/>
          <w:lang w:val="zh-CN" w:eastAsia="zh-CN"/>
        </w:rPr>
        <w:t>减少0.0</w:t>
      </w:r>
      <w:r>
        <w:rPr>
          <w:rFonts w:hint="eastAsia" w:ascii="宋体" w:hAnsi="宋体"/>
          <w:color w:val="auto"/>
          <w:sz w:val="24"/>
          <w:szCs w:val="24"/>
          <w:lang w:val="zh-CN"/>
        </w:rPr>
        <w:t>万元,</w:t>
      </w:r>
      <w:r>
        <w:rPr>
          <w:rFonts w:hint="eastAsia" w:ascii="宋体" w:hAnsi="宋体"/>
          <w:color w:val="auto"/>
          <w:sz w:val="24"/>
          <w:szCs w:val="24"/>
          <w:lang w:val="zh-CN" w:eastAsia="zh-CN"/>
        </w:rPr>
        <w:t>下降0</w:t>
      </w:r>
      <w:r>
        <w:rPr>
          <w:rFonts w:hint="eastAsia" w:ascii="宋体" w:hAnsi="宋体"/>
          <w:color w:val="auto"/>
          <w:sz w:val="24"/>
          <w:szCs w:val="24"/>
          <w:lang w:val="zh-CN"/>
        </w:rPr>
        <w:t>%。</w:t>
      </w:r>
    </w:p>
    <w:p>
      <w:pPr>
        <w:pageBreakBefore w:val="0"/>
        <w:widowControl/>
        <w:numPr>
          <w:ilvl w:val="0"/>
          <w:numId w:val="0"/>
        </w:numPr>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color w:val="auto"/>
          <w:sz w:val="24"/>
          <w:szCs w:val="24"/>
          <w:lang w:val="zh-CN"/>
        </w:rPr>
      </w:pPr>
      <w:r>
        <w:rPr>
          <w:rFonts w:hint="eastAsia" w:ascii="宋体" w:hAnsi="宋体"/>
          <w:b/>
          <w:color w:val="auto"/>
          <w:sz w:val="24"/>
          <w:szCs w:val="24"/>
          <w:lang w:val="zh-CN"/>
        </w:rPr>
        <w:t>公务接待费</w:t>
      </w:r>
      <w:r>
        <w:rPr>
          <w:rFonts w:hint="eastAsia" w:ascii="宋体" w:hAnsi="宋体"/>
          <w:color w:val="auto"/>
          <w:sz w:val="24"/>
          <w:szCs w:val="24"/>
          <w:lang w:val="en-US"/>
        </w:rPr>
        <w:t>全</w:t>
      </w:r>
      <w:r>
        <w:rPr>
          <w:rFonts w:hint="eastAsia" w:ascii="宋体" w:hAnsi="宋体"/>
          <w:color w:val="auto"/>
          <w:sz w:val="24"/>
          <w:szCs w:val="24"/>
          <w:lang w:val="zh-CN"/>
        </w:rPr>
        <w:t>年预算数为0.15万元,支出决算为0.00万元,决算数小于预算数的</w:t>
      </w:r>
      <w:r>
        <w:rPr>
          <w:rFonts w:hint="eastAsia" w:ascii="宋体" w:hAnsi="宋体"/>
          <w:color w:val="auto"/>
          <w:sz w:val="24"/>
          <w:szCs w:val="24"/>
          <w:lang w:val="zh-CN"/>
        </w:rPr>
        <w:t>主要原因是我单位近年来无新增实施项目，公务接待减少，年初未预算公务接待费,</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减少0.0</w:t>
      </w:r>
      <w:r>
        <w:rPr>
          <w:rFonts w:hint="eastAsia" w:ascii="宋体" w:hAnsi="宋体"/>
          <w:color w:val="auto"/>
          <w:sz w:val="24"/>
          <w:szCs w:val="24"/>
          <w:lang w:val="zh-CN"/>
        </w:rPr>
        <w:t>万元</w:t>
      </w:r>
      <w:r>
        <w:rPr>
          <w:rFonts w:hint="eastAsia" w:ascii="宋体" w:hAnsi="宋体"/>
          <w:color w:val="auto"/>
          <w:sz w:val="24"/>
          <w:szCs w:val="24"/>
          <w:lang w:val="en-US"/>
        </w:rPr>
        <w:t>,</w:t>
      </w:r>
      <w:r>
        <w:rPr>
          <w:rFonts w:hint="eastAsia" w:ascii="宋体" w:hAnsi="宋体"/>
          <w:color w:val="auto"/>
          <w:sz w:val="24"/>
          <w:szCs w:val="24"/>
          <w:lang w:val="en-US" w:eastAsia="zh-CN"/>
        </w:rPr>
        <w:t>下降0</w:t>
      </w:r>
      <w:r>
        <w:rPr>
          <w:rFonts w:hint="eastAsia" w:ascii="宋体" w:hAnsi="宋体"/>
          <w:color w:val="auto"/>
          <w:sz w:val="24"/>
          <w:szCs w:val="24"/>
          <w:lang w:val="zh-CN"/>
        </w:rPr>
        <w:t>%</w:t>
      </w:r>
      <w:r>
        <w:rPr>
          <w:rFonts w:hint="eastAsia" w:ascii="宋体" w:hAnsi="宋体"/>
          <w:color w:val="auto"/>
          <w:sz w:val="24"/>
          <w:szCs w:val="24"/>
          <w:lang w:val="en-US"/>
        </w:rPr>
        <w:t>,主要原因是</w:t>
      </w:r>
      <w:r>
        <w:rPr>
          <w:rFonts w:hint="eastAsia" w:ascii="宋体" w:hAnsi="宋体"/>
          <w:color w:val="auto"/>
          <w:sz w:val="24"/>
          <w:szCs w:val="24"/>
          <w:lang w:val="en-US" w:eastAsia="zh-CN"/>
        </w:rPr>
        <w:t>上年度支出公务接待费0.0万元，2023年实际未发生公务接待业务</w:t>
      </w:r>
      <w:r>
        <w:rPr>
          <w:rFonts w:hint="eastAsia" w:ascii="宋体" w:hAnsi="宋体"/>
          <w:color w:val="auto"/>
          <w:sz w:val="24"/>
          <w:szCs w:val="24"/>
          <w:lang w:val="zh-CN"/>
        </w:rPr>
        <w:t>。</w:t>
      </w:r>
    </w:p>
    <w:p>
      <w:pPr>
        <w:pageBreakBefore w:val="0"/>
        <w:widowControl/>
        <w:numPr>
          <w:ilvl w:val="0"/>
          <w:numId w:val="0"/>
        </w:numPr>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en-US" w:eastAsia="zh-CN"/>
        </w:rPr>
      </w:pPr>
      <w:r>
        <w:rPr>
          <w:rFonts w:hint="eastAsia" w:ascii="宋体" w:hAnsi="宋体"/>
          <w:color w:val="auto"/>
          <w:sz w:val="24"/>
          <w:szCs w:val="24"/>
          <w:lang w:val="zh-CN"/>
        </w:rPr>
        <w:t>外事接待费支出</w:t>
      </w:r>
      <w:r>
        <w:rPr>
          <w:rFonts w:hint="eastAsia" w:ascii="宋体" w:hAnsi="宋体"/>
          <w:color w:val="auto"/>
          <w:sz w:val="24"/>
          <w:szCs w:val="24"/>
          <w:lang w:val="en-US" w:eastAsia="zh-CN"/>
        </w:rPr>
        <w:t>0</w:t>
      </w:r>
      <w:r>
        <w:rPr>
          <w:rFonts w:hint="eastAsia" w:ascii="宋体" w:hAnsi="宋体"/>
          <w:color w:val="auto"/>
          <w:sz w:val="24"/>
          <w:szCs w:val="24"/>
          <w:lang w:val="zh-CN"/>
        </w:rPr>
        <w:t>万元。</w:t>
      </w:r>
      <w:r>
        <w:rPr>
          <w:rFonts w:hint="eastAsia" w:ascii="宋体" w:hAnsi="宋体"/>
          <w:color w:val="auto"/>
          <w:sz w:val="24"/>
          <w:szCs w:val="24"/>
          <w:lang w:val="zh-CN"/>
        </w:rPr>
        <w:t>主要是我单位无外事接待业务工作。</w:t>
      </w:r>
    </w:p>
    <w:p>
      <w:pPr>
        <w:pageBreakBefore w:val="0"/>
        <w:widowControl/>
        <w:numPr>
          <w:ilvl w:val="0"/>
          <w:numId w:val="0"/>
        </w:numPr>
        <w:kinsoku/>
        <w:wordWrap/>
        <w:overflowPunct/>
        <w:topLinePunct w:val="0"/>
        <w:autoSpaceDE/>
        <w:autoSpaceDN/>
        <w:bidi w:val="0"/>
        <w:adjustRightInd/>
        <w:snapToGrid/>
        <w:spacing w:before="100" w:beforeLines="0" w:after="100" w:afterLines="0"/>
        <w:ind w:firstLine="480" w:firstLineChars="200"/>
        <w:jc w:val="left"/>
        <w:textAlignment w:val="auto"/>
        <w:rPr>
          <w:rFonts w:hint="default" w:ascii="宋体" w:hAnsi="宋体"/>
          <w:color w:val="auto"/>
          <w:sz w:val="24"/>
          <w:szCs w:val="24"/>
          <w:lang w:val="en-US" w:eastAsia="zh-CN"/>
        </w:rPr>
      </w:pPr>
      <w:r>
        <w:rPr>
          <w:rFonts w:hint="eastAsia" w:ascii="宋体" w:hAnsi="宋体"/>
          <w:color w:val="auto"/>
          <w:sz w:val="24"/>
          <w:szCs w:val="24"/>
          <w:lang w:val="en-US" w:eastAsia="zh-CN"/>
        </w:rPr>
        <w:t>其他国内公务接待支出</w:t>
      </w:r>
      <w:r>
        <w:rPr>
          <w:rFonts w:hint="eastAsia" w:ascii="宋体" w:hAnsi="宋体"/>
          <w:color w:val="auto"/>
          <w:sz w:val="24"/>
          <w:szCs w:val="24"/>
          <w:lang w:val="zh-CN"/>
        </w:rPr>
        <w:t>0.00</w:t>
      </w:r>
      <w:r>
        <w:rPr>
          <w:rFonts w:hint="eastAsia" w:ascii="宋体" w:hAnsi="宋体"/>
          <w:color w:val="auto"/>
          <w:sz w:val="24"/>
          <w:szCs w:val="24"/>
          <w:lang w:val="zh-CN"/>
        </w:rPr>
        <w:t>万元。</w:t>
      </w:r>
      <w:r>
        <w:rPr>
          <w:rFonts w:hint="eastAsia" w:ascii="宋体" w:hAnsi="宋体"/>
          <w:color w:val="auto"/>
          <w:sz w:val="24"/>
          <w:szCs w:val="24"/>
          <w:lang w:val="zh-CN"/>
        </w:rPr>
        <w:t>主要是</w:t>
      </w:r>
      <w:r>
        <w:rPr>
          <w:rFonts w:hint="eastAsia" w:ascii="宋体" w:hAnsi="宋体"/>
          <w:color w:val="auto"/>
          <w:sz w:val="24"/>
          <w:szCs w:val="24"/>
          <w:lang w:val="en-US" w:eastAsia="zh-CN"/>
        </w:rPr>
        <w:t>2023年未发生国内公务接待业务</w:t>
      </w:r>
      <w:r>
        <w:rPr>
          <w:rFonts w:hint="eastAsia" w:ascii="宋体" w:hAnsi="宋体"/>
          <w:color w:val="auto"/>
          <w:sz w:val="24"/>
          <w:szCs w:val="24"/>
          <w:lang w:val="zh-CN"/>
        </w:rPr>
        <w:t>。</w:t>
      </w:r>
    </w:p>
    <w:p>
      <w:pPr>
        <w:pageBreakBefore w:val="0"/>
        <w:widowControl/>
        <w:numPr>
          <w:ilvl w:val="0"/>
          <w:numId w:val="2"/>
        </w:numPr>
        <w:kinsoku/>
        <w:wordWrap/>
        <w:overflowPunct/>
        <w:topLinePunct w:val="0"/>
        <w:autoSpaceDE/>
        <w:autoSpaceDN/>
        <w:bidi w:val="0"/>
        <w:adjustRightInd/>
        <w:snapToGrid/>
        <w:spacing w:before="100" w:beforeLines="0" w:after="100" w:afterLines="0"/>
        <w:ind w:left="0" w:leftChars="0" w:firstLine="480" w:firstLineChars="200"/>
        <w:jc w:val="left"/>
        <w:textAlignment w:val="auto"/>
        <w:rPr>
          <w:rFonts w:hint="eastAsia" w:ascii="宋体" w:hAnsi="宋体"/>
          <w:b/>
          <w:color w:val="auto"/>
          <w:sz w:val="24"/>
          <w:szCs w:val="24"/>
          <w:lang w:val="zh-CN"/>
        </w:rPr>
      </w:pP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三公</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经费财政拨款支出决算实物量情况</w:t>
      </w:r>
    </w:p>
    <w:p>
      <w:pPr>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2023年度本部门</w:t>
      </w:r>
      <w:r>
        <w:rPr>
          <w:rFonts w:hint="eastAsia" w:ascii="宋体" w:hAnsi="宋体"/>
          <w:b/>
          <w:color w:val="auto"/>
          <w:sz w:val="24"/>
          <w:szCs w:val="24"/>
          <w:lang w:val="zh-CN"/>
        </w:rPr>
        <w:t>因公出国(境)</w:t>
      </w:r>
      <w:r>
        <w:rPr>
          <w:rFonts w:hint="eastAsia" w:ascii="宋体" w:hAnsi="宋体"/>
          <w:color w:val="auto"/>
          <w:sz w:val="24"/>
          <w:szCs w:val="24"/>
          <w:lang w:val="zh-CN"/>
        </w:rPr>
        <w:t>共计</w:t>
      </w:r>
      <w:r>
        <w:rPr>
          <w:rFonts w:hint="eastAsia" w:ascii="宋体" w:hAnsi="宋体"/>
          <w:color w:val="auto"/>
          <w:sz w:val="24"/>
          <w:szCs w:val="24"/>
          <w:lang w:val="en-US" w:eastAsia="zh-CN"/>
        </w:rPr>
        <w:t>0</w:t>
      </w:r>
      <w:r>
        <w:rPr>
          <w:rFonts w:hint="eastAsia" w:ascii="宋体" w:hAnsi="宋体"/>
          <w:color w:val="auto"/>
          <w:sz w:val="24"/>
          <w:szCs w:val="24"/>
          <w:lang w:val="zh-CN"/>
        </w:rPr>
        <w:t>个团组,人；</w:t>
      </w:r>
      <w:r>
        <w:rPr>
          <w:rFonts w:hint="eastAsia" w:ascii="宋体" w:hAnsi="宋体"/>
          <w:b/>
          <w:color w:val="auto"/>
          <w:sz w:val="24"/>
          <w:szCs w:val="24"/>
          <w:lang w:val="zh-CN"/>
        </w:rPr>
        <w:t>公务用车购置</w:t>
      </w:r>
      <w:r>
        <w:rPr>
          <w:rFonts w:hint="eastAsia" w:ascii="宋体" w:hAnsi="宋体"/>
          <w:b/>
          <w:color w:val="auto"/>
          <w:sz w:val="24"/>
          <w:szCs w:val="24"/>
          <w:lang w:val="en-US" w:eastAsia="zh-CN"/>
        </w:rPr>
        <w:t>0</w:t>
      </w:r>
      <w:r>
        <w:rPr>
          <w:rFonts w:hint="eastAsia" w:ascii="宋体" w:hAnsi="宋体"/>
          <w:color w:val="auto"/>
          <w:sz w:val="24"/>
          <w:szCs w:val="24"/>
          <w:lang w:val="zh-CN"/>
        </w:rPr>
        <w:t>辆,</w:t>
      </w:r>
      <w:r>
        <w:rPr>
          <w:rFonts w:hint="eastAsia" w:ascii="宋体" w:hAnsi="宋体"/>
          <w:b/>
          <w:color w:val="auto"/>
          <w:sz w:val="24"/>
          <w:szCs w:val="24"/>
          <w:lang w:val="zh-CN"/>
        </w:rPr>
        <w:t>公务用车保有量</w:t>
      </w:r>
      <w:r>
        <w:rPr>
          <w:rFonts w:hint="eastAsia" w:ascii="宋体" w:hAnsi="宋体"/>
          <w:color w:val="auto"/>
          <w:sz w:val="24"/>
          <w:szCs w:val="24"/>
          <w:lang w:val="zh-CN"/>
        </w:rPr>
        <w:t>为</w:t>
      </w:r>
      <w:r>
        <w:rPr>
          <w:rFonts w:hint="eastAsia" w:ascii="宋体" w:hAnsi="宋体"/>
          <w:color w:val="auto"/>
          <w:sz w:val="24"/>
          <w:szCs w:val="24"/>
          <w:lang w:val="en-US" w:eastAsia="zh-CN"/>
        </w:rPr>
        <w:t>0</w:t>
      </w:r>
      <w:r>
        <w:rPr>
          <w:rFonts w:hint="eastAsia" w:ascii="宋体" w:hAnsi="宋体"/>
          <w:color w:val="auto"/>
          <w:sz w:val="24"/>
          <w:szCs w:val="24"/>
          <w:lang w:val="zh-CN"/>
        </w:rPr>
        <w:t>辆；</w:t>
      </w:r>
      <w:r>
        <w:rPr>
          <w:rFonts w:hint="eastAsia" w:ascii="宋体" w:hAnsi="宋体"/>
          <w:b/>
          <w:color w:val="auto"/>
          <w:sz w:val="24"/>
          <w:szCs w:val="24"/>
          <w:lang w:val="zh-CN"/>
        </w:rPr>
        <w:t>国内公务接待</w:t>
      </w:r>
      <w:r>
        <w:rPr>
          <w:rFonts w:hint="eastAsia" w:ascii="宋体" w:hAnsi="宋体"/>
          <w:color w:val="auto"/>
          <w:sz w:val="24"/>
          <w:szCs w:val="24"/>
          <w:lang w:val="zh-CN"/>
        </w:rPr>
        <w:t>批次</w:t>
      </w:r>
      <w:r>
        <w:rPr>
          <w:rFonts w:hint="eastAsia" w:ascii="宋体" w:hAnsi="宋体"/>
          <w:color w:val="auto"/>
          <w:sz w:val="24"/>
          <w:szCs w:val="24"/>
          <w:lang w:val="en-US" w:eastAsia="zh-CN"/>
        </w:rPr>
        <w:t>0</w:t>
      </w:r>
      <w:r>
        <w:rPr>
          <w:rFonts w:hint="eastAsia" w:ascii="宋体" w:hAnsi="宋体"/>
          <w:color w:val="auto"/>
          <w:sz w:val="24"/>
          <w:szCs w:val="24"/>
          <w:lang w:val="zh-CN"/>
        </w:rPr>
        <w:t>人,其中：</w:t>
      </w:r>
      <w:r>
        <w:rPr>
          <w:rFonts w:hint="eastAsia" w:ascii="宋体" w:hAnsi="宋体"/>
          <w:b/>
          <w:color w:val="auto"/>
          <w:sz w:val="24"/>
          <w:szCs w:val="24"/>
          <w:lang w:val="zh-CN"/>
        </w:rPr>
        <w:t>外事接待</w:t>
      </w:r>
      <w:r>
        <w:rPr>
          <w:rFonts w:hint="eastAsia" w:ascii="宋体" w:hAnsi="宋体"/>
          <w:color w:val="auto"/>
          <w:sz w:val="24"/>
          <w:szCs w:val="24"/>
          <w:lang w:val="zh-CN"/>
        </w:rPr>
        <w:t>批次</w:t>
      </w:r>
      <w:r>
        <w:rPr>
          <w:rFonts w:hint="eastAsia" w:ascii="宋体" w:hAnsi="宋体"/>
          <w:color w:val="auto"/>
          <w:sz w:val="24"/>
          <w:szCs w:val="24"/>
          <w:lang w:val="en-US" w:eastAsia="zh-CN"/>
        </w:rPr>
        <w:t>0</w:t>
      </w:r>
      <w:r>
        <w:rPr>
          <w:rFonts w:hint="eastAsia" w:ascii="宋体" w:hAnsi="宋体"/>
          <w:color w:val="auto"/>
          <w:sz w:val="24"/>
          <w:szCs w:val="24"/>
          <w:lang w:val="zh-CN"/>
        </w:rPr>
        <w:t>人；</w:t>
      </w:r>
      <w:r>
        <w:rPr>
          <w:rFonts w:hint="eastAsia" w:ascii="宋体" w:hAnsi="宋体"/>
          <w:b/>
          <w:color w:val="auto"/>
          <w:sz w:val="24"/>
          <w:szCs w:val="24"/>
          <w:lang w:val="zh-CN"/>
        </w:rPr>
        <w:t>国(境)外公务接待</w:t>
      </w:r>
      <w:r>
        <w:rPr>
          <w:rFonts w:hint="eastAsia" w:ascii="宋体" w:hAnsi="宋体"/>
          <w:color w:val="auto"/>
          <w:sz w:val="24"/>
          <w:szCs w:val="24"/>
          <w:lang w:val="zh-CN"/>
        </w:rPr>
        <w:t>批次</w:t>
      </w:r>
      <w:r>
        <w:rPr>
          <w:rFonts w:hint="eastAsia" w:ascii="宋体" w:hAnsi="宋体"/>
          <w:color w:val="auto"/>
          <w:sz w:val="24"/>
          <w:szCs w:val="24"/>
          <w:lang w:val="en-US" w:eastAsia="zh-CN"/>
        </w:rPr>
        <w:t>0</w:t>
      </w:r>
      <w:r>
        <w:rPr>
          <w:rFonts w:hint="eastAsia" w:ascii="宋体" w:hAnsi="宋体"/>
          <w:color w:val="auto"/>
          <w:sz w:val="24"/>
          <w:szCs w:val="24"/>
          <w:lang w:val="zh-CN"/>
        </w:rPr>
        <w:t>人。</w:t>
      </w:r>
    </w:p>
    <w:p>
      <w:pPr>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十</w:t>
      </w:r>
      <w:r>
        <w:rPr>
          <w:rFonts w:hint="eastAsia" w:ascii="宋体" w:hAnsi="宋体"/>
          <w:b/>
          <w:bCs/>
          <w:color w:val="auto"/>
          <w:sz w:val="24"/>
          <w:szCs w:val="24"/>
          <w:lang w:val="zh-CN" w:eastAsia="zh-CN"/>
        </w:rPr>
        <w:t>、机关运行经费支出情况说明</w:t>
      </w:r>
    </w:p>
    <w:p>
      <w:pPr>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2023年度本部门机关运行经费支出24.66万元,机关运行经费</w:t>
      </w:r>
      <w:r>
        <w:rPr>
          <w:rFonts w:hint="eastAsia" w:ascii="宋体" w:hAnsi="宋体"/>
          <w:color w:val="auto"/>
          <w:sz w:val="24"/>
          <w:szCs w:val="24"/>
          <w:lang w:val="zh-CN"/>
        </w:rPr>
        <w:t>主要用于开支单位办公费、印刷费、手续费、水费、电费、邮电费、取暖费、职工差旅费、劳务费、工会经费、福利费、其他交通费用。</w:t>
      </w:r>
      <w:r>
        <w:rPr>
          <w:rFonts w:hint="eastAsia" w:ascii="宋体" w:hAnsi="宋体"/>
          <w:color w:val="auto"/>
          <w:sz w:val="24"/>
          <w:szCs w:val="24"/>
          <w:lang w:val="zh-CN"/>
        </w:rPr>
        <w:t>机关运行经费较上年决算数增加</w:t>
      </w:r>
      <w:r>
        <w:rPr>
          <w:rFonts w:hint="eastAsia" w:ascii="宋体" w:hAnsi="宋体"/>
          <w:color w:val="auto"/>
          <w:sz w:val="24"/>
          <w:szCs w:val="24"/>
          <w:lang w:val="en-US" w:eastAsia="zh-CN"/>
        </w:rPr>
        <w:t>13.36</w:t>
      </w:r>
      <w:r>
        <w:rPr>
          <w:rFonts w:hint="eastAsia" w:ascii="宋体" w:hAnsi="宋体"/>
          <w:color w:val="auto"/>
          <w:sz w:val="24"/>
          <w:szCs w:val="24"/>
          <w:lang w:val="zh-CN"/>
        </w:rPr>
        <w:t>万元,增加</w:t>
      </w:r>
      <w:r>
        <w:rPr>
          <w:rFonts w:hint="eastAsia" w:ascii="宋体" w:hAnsi="宋体"/>
          <w:color w:val="auto"/>
          <w:sz w:val="24"/>
          <w:szCs w:val="24"/>
          <w:lang w:val="en-US" w:eastAsia="zh-CN"/>
        </w:rPr>
        <w:t>114.4</w:t>
      </w:r>
      <w:r>
        <w:rPr>
          <w:rFonts w:hint="eastAsia" w:ascii="宋体" w:hAnsi="宋体"/>
          <w:color w:val="auto"/>
          <w:sz w:val="24"/>
          <w:szCs w:val="24"/>
          <w:lang w:val="zh-CN"/>
        </w:rPr>
        <w:t>%,</w:t>
      </w:r>
      <w:r>
        <w:rPr>
          <w:rFonts w:hint="eastAsia" w:ascii="宋体" w:hAnsi="宋体"/>
          <w:color w:val="auto"/>
          <w:sz w:val="24"/>
          <w:szCs w:val="24"/>
          <w:lang w:val="zh-CN"/>
        </w:rPr>
        <w:t>主要原因是</w:t>
      </w:r>
      <w:r>
        <w:rPr>
          <w:rFonts w:hint="eastAsia" w:ascii="宋体" w:hAnsi="宋体"/>
          <w:color w:val="auto"/>
          <w:sz w:val="24"/>
          <w:szCs w:val="24"/>
          <w:lang w:val="en-US" w:eastAsia="zh-CN"/>
        </w:rPr>
        <w:t>2023年支付2022年及2023年</w:t>
      </w:r>
      <w:r>
        <w:rPr>
          <w:rFonts w:hint="eastAsia" w:ascii="宋体" w:hAnsi="宋体"/>
          <w:color w:val="auto"/>
          <w:sz w:val="24"/>
          <w:szCs w:val="24"/>
          <w:lang w:val="zh-CN"/>
        </w:rPr>
        <w:t>驻村人员工作补助经费，</w:t>
      </w:r>
      <w:r>
        <w:rPr>
          <w:rFonts w:hint="eastAsia" w:ascii="宋体" w:hAnsi="宋体"/>
          <w:color w:val="auto"/>
          <w:sz w:val="24"/>
          <w:szCs w:val="24"/>
          <w:lang w:val="en-US" w:eastAsia="zh-CN"/>
        </w:rPr>
        <w:t>2023年度公务员</w:t>
      </w:r>
      <w:r>
        <w:rPr>
          <w:rFonts w:hint="eastAsia" w:ascii="宋体" w:hAnsi="宋体"/>
          <w:color w:val="auto"/>
          <w:sz w:val="24"/>
          <w:szCs w:val="24"/>
          <w:lang w:val="zh-CN"/>
        </w:rPr>
        <w:t>车补（其他交通费用）及时进行支出。</w:t>
      </w:r>
    </w:p>
    <w:p>
      <w:pPr>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本年度会议费支出0.00万元,</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减少0.0</w:t>
      </w:r>
      <w:r>
        <w:rPr>
          <w:rFonts w:hint="eastAsia" w:ascii="宋体" w:hAnsi="宋体"/>
          <w:color w:val="auto"/>
          <w:sz w:val="24"/>
          <w:szCs w:val="24"/>
          <w:lang w:val="zh-CN"/>
        </w:rPr>
        <w:t>万元</w:t>
      </w:r>
      <w:r>
        <w:rPr>
          <w:rFonts w:hint="eastAsia" w:ascii="宋体" w:hAnsi="宋体"/>
          <w:color w:val="auto"/>
          <w:sz w:val="24"/>
          <w:szCs w:val="24"/>
          <w:lang w:val="en-US"/>
        </w:rPr>
        <w:t>,</w:t>
      </w:r>
      <w:r>
        <w:rPr>
          <w:rFonts w:hint="eastAsia" w:ascii="宋体" w:hAnsi="宋体"/>
          <w:color w:val="auto"/>
          <w:sz w:val="24"/>
          <w:szCs w:val="24"/>
          <w:lang w:val="en-US" w:eastAsia="zh-CN"/>
        </w:rPr>
        <w:t>下降0</w:t>
      </w:r>
      <w:r>
        <w:rPr>
          <w:rFonts w:hint="eastAsia" w:ascii="宋体" w:hAnsi="宋体"/>
          <w:color w:val="auto"/>
          <w:sz w:val="24"/>
          <w:szCs w:val="24"/>
          <w:lang w:val="zh-CN"/>
        </w:rPr>
        <w:t>%</w:t>
      </w:r>
      <w:r>
        <w:rPr>
          <w:rFonts w:hint="eastAsia" w:ascii="宋体" w:hAnsi="宋体"/>
          <w:color w:val="auto"/>
          <w:sz w:val="24"/>
          <w:szCs w:val="24"/>
          <w:lang w:val="en-US"/>
        </w:rPr>
        <w:t>,</w:t>
      </w:r>
      <w:r>
        <w:rPr>
          <w:rFonts w:hint="eastAsia" w:ascii="宋体" w:hAnsi="宋体"/>
          <w:color w:val="auto"/>
          <w:sz w:val="24"/>
          <w:szCs w:val="24"/>
          <w:lang w:val="zh-CN"/>
        </w:rPr>
        <w:t>,</w:t>
      </w:r>
      <w:r>
        <w:rPr>
          <w:rFonts w:hint="eastAsia" w:ascii="宋体" w:hAnsi="宋体"/>
          <w:color w:val="auto"/>
          <w:sz w:val="24"/>
          <w:szCs w:val="24"/>
          <w:lang w:val="zh-CN"/>
        </w:rPr>
        <w:t>主要原因是</w:t>
      </w:r>
      <w:r>
        <w:rPr>
          <w:rFonts w:hint="eastAsia" w:ascii="宋体" w:hAnsi="宋体"/>
          <w:color w:val="auto"/>
          <w:sz w:val="24"/>
          <w:szCs w:val="24"/>
          <w:lang w:val="en-US" w:eastAsia="zh-CN"/>
        </w:rPr>
        <w:t>2023年无新增公务接待，未支出会议费、公务接待费</w:t>
      </w:r>
      <w:r>
        <w:rPr>
          <w:rFonts w:hint="eastAsia" w:ascii="宋体" w:hAnsi="宋体"/>
          <w:color w:val="auto"/>
          <w:sz w:val="24"/>
          <w:szCs w:val="24"/>
          <w:lang w:val="zh-CN"/>
        </w:rPr>
        <w:t>。</w:t>
      </w:r>
      <w:r>
        <w:rPr>
          <w:rFonts w:hint="eastAsia" w:ascii="宋体" w:hAnsi="宋体"/>
          <w:color w:val="auto"/>
          <w:sz w:val="24"/>
          <w:szCs w:val="24"/>
          <w:lang w:val="zh-CN"/>
        </w:rPr>
        <w:t>本年度培训费支出0.00万元</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减少0.0</w:t>
      </w:r>
      <w:r>
        <w:rPr>
          <w:rFonts w:hint="eastAsia" w:ascii="宋体" w:hAnsi="宋体"/>
          <w:color w:val="auto"/>
          <w:sz w:val="24"/>
          <w:szCs w:val="24"/>
          <w:lang w:val="zh-CN"/>
        </w:rPr>
        <w:t>万元</w:t>
      </w:r>
      <w:r>
        <w:rPr>
          <w:rFonts w:hint="eastAsia" w:ascii="宋体" w:hAnsi="宋体"/>
          <w:color w:val="auto"/>
          <w:sz w:val="24"/>
          <w:szCs w:val="24"/>
          <w:lang w:val="en-US"/>
        </w:rPr>
        <w:t>,</w:t>
      </w:r>
      <w:r>
        <w:rPr>
          <w:rFonts w:hint="eastAsia" w:ascii="宋体" w:hAnsi="宋体"/>
          <w:color w:val="auto"/>
          <w:sz w:val="24"/>
          <w:szCs w:val="24"/>
          <w:lang w:val="en-US" w:eastAsia="zh-CN"/>
        </w:rPr>
        <w:t>下降0</w:t>
      </w:r>
      <w:r>
        <w:rPr>
          <w:rFonts w:hint="eastAsia" w:ascii="宋体" w:hAnsi="宋体"/>
          <w:color w:val="auto"/>
          <w:sz w:val="24"/>
          <w:szCs w:val="24"/>
          <w:lang w:val="zh-CN"/>
        </w:rPr>
        <w:t>%</w:t>
      </w:r>
      <w:r>
        <w:rPr>
          <w:rFonts w:hint="eastAsia" w:ascii="宋体" w:hAnsi="宋体"/>
          <w:color w:val="auto"/>
          <w:sz w:val="24"/>
          <w:szCs w:val="24"/>
          <w:lang w:val="zh-CN"/>
        </w:rPr>
        <w:t>,</w:t>
      </w:r>
      <w:r>
        <w:rPr>
          <w:rFonts w:hint="eastAsia" w:ascii="宋体" w:hAnsi="宋体"/>
          <w:color w:val="auto"/>
          <w:sz w:val="24"/>
          <w:szCs w:val="24"/>
          <w:lang w:val="zh-CN"/>
        </w:rPr>
        <w:t>主要原因是</w:t>
      </w:r>
      <w:r>
        <w:rPr>
          <w:rFonts w:hint="eastAsia" w:ascii="宋体" w:hAnsi="宋体"/>
          <w:color w:val="auto"/>
          <w:sz w:val="24"/>
          <w:szCs w:val="24"/>
          <w:lang w:val="en-US" w:eastAsia="zh-CN"/>
        </w:rPr>
        <w:t>2023年未发生培训业务</w:t>
      </w:r>
      <w:r>
        <w:rPr>
          <w:rFonts w:hint="eastAsia" w:ascii="宋体" w:hAnsi="宋体"/>
          <w:color w:val="auto"/>
          <w:sz w:val="24"/>
          <w:szCs w:val="24"/>
          <w:lang w:val="zh-CN"/>
        </w:rPr>
        <w:t>。</w:t>
      </w:r>
    </w:p>
    <w:p>
      <w:pPr>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十一、政府采购支出情况说明</w:t>
      </w:r>
    </w:p>
    <w:p>
      <w:pPr>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2023年度本部门政府采购支出合计0.00万元,其中：政府采购货物支出0.00万元、政府采购工程支出0.00万元、政府采购服务支出0.00万元。授予中小企业合同金额0.00万元,占政府采购支出总额的</w:t>
      </w:r>
      <w:r>
        <w:rPr>
          <w:rFonts w:hint="eastAsia" w:ascii="宋体" w:hAnsi="宋体"/>
          <w:color w:val="auto"/>
          <w:sz w:val="24"/>
          <w:szCs w:val="24"/>
          <w:lang w:val="en-US" w:eastAsia="zh-CN"/>
        </w:rPr>
        <w:t>0</w:t>
      </w:r>
      <w:r>
        <w:rPr>
          <w:rFonts w:hint="eastAsia" w:ascii="宋体" w:hAnsi="宋体"/>
          <w:color w:val="auto"/>
          <w:sz w:val="24"/>
          <w:szCs w:val="24"/>
          <w:lang w:val="zh-CN"/>
        </w:rPr>
        <w:t>%,其中：授予小微企业合同金额0.00万元,占政府采购支出总额的</w:t>
      </w:r>
      <w:r>
        <w:rPr>
          <w:rFonts w:hint="eastAsia" w:ascii="宋体" w:hAnsi="宋体"/>
          <w:color w:val="auto"/>
          <w:sz w:val="24"/>
          <w:szCs w:val="24"/>
          <w:lang w:val="en-US" w:eastAsia="zh-CN"/>
        </w:rPr>
        <w:t>0</w:t>
      </w:r>
      <w:r>
        <w:rPr>
          <w:rFonts w:hint="eastAsia" w:ascii="宋体" w:hAnsi="宋体"/>
          <w:color w:val="auto"/>
          <w:sz w:val="24"/>
          <w:szCs w:val="24"/>
          <w:lang w:val="zh-CN"/>
        </w:rPr>
        <w:t>%。</w:t>
      </w:r>
    </w:p>
    <w:p>
      <w:pPr>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十二</w:t>
      </w:r>
      <w:r>
        <w:rPr>
          <w:rFonts w:hint="eastAsia" w:ascii="宋体" w:hAnsi="宋体"/>
          <w:b/>
          <w:bCs/>
          <w:color w:val="auto"/>
          <w:sz w:val="24"/>
          <w:szCs w:val="24"/>
          <w:lang w:val="zh-CN" w:eastAsia="zh-CN"/>
        </w:rPr>
        <w:t>、国有资产占用情况说明</w:t>
      </w:r>
    </w:p>
    <w:p>
      <w:pPr>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截至2023年12月31日,本部门共有车辆1辆,其中,副部(省)级及以上领导用车0辆、主要领导干部用车0辆、机要通信用车0辆、应急保障用车0辆、执法执勤用车0辆,特种专业技术用车0辆,离退休干部用车0辆,其他用车1辆,其他用车</w:t>
      </w:r>
      <w:r>
        <w:rPr>
          <w:rFonts w:hint="eastAsia" w:ascii="宋体" w:hAnsi="宋体"/>
          <w:color w:val="auto"/>
          <w:sz w:val="24"/>
          <w:szCs w:val="24"/>
          <w:lang w:val="zh-CN"/>
        </w:rPr>
        <w:t>主要是用于日常业务指导检查。</w:t>
      </w:r>
      <w:r>
        <w:rPr>
          <w:rFonts w:hint="eastAsia" w:ascii="宋体" w:hAnsi="宋体"/>
          <w:color w:val="auto"/>
          <w:sz w:val="24"/>
          <w:szCs w:val="24"/>
          <w:lang w:val="zh-CN"/>
        </w:rPr>
        <w:t>单价100万元(含)以上设备0台(套)。</w:t>
      </w:r>
    </w:p>
    <w:p>
      <w:pPr>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十三、其他需要说明的情况</w:t>
      </w:r>
    </w:p>
    <w:p>
      <w:pPr>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由于决算公开表格中金额数值应当保留两位小数，公开数据为四舍五入计算结果，个别数据合计项与分项之和存在小数点后差额，特此说明。</w:t>
      </w:r>
    </w:p>
    <w:p>
      <w:pPr>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p>
    <w:p>
      <w:pPr>
        <w:pageBreakBefore w:val="0"/>
        <w:widowControl/>
        <w:kinsoku/>
        <w:wordWrap/>
        <w:overflowPunct/>
        <w:topLinePunct w:val="0"/>
        <w:autoSpaceDE/>
        <w:autoSpaceDN/>
        <w:bidi w:val="0"/>
        <w:adjustRightInd/>
        <w:snapToGrid/>
        <w:spacing w:before="100" w:beforeLines="0" w:after="100" w:afterLines="0"/>
        <w:ind w:firstLine="482" w:firstLineChars="200"/>
        <w:jc w:val="center"/>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第四部分</w:t>
      </w:r>
      <w:r>
        <w:rPr>
          <w:rFonts w:hint="eastAsia" w:ascii="宋体" w:hAnsi="宋体"/>
          <w:b/>
          <w:bCs/>
          <w:color w:val="auto"/>
          <w:sz w:val="24"/>
          <w:szCs w:val="24"/>
          <w:lang w:val="en-US" w:eastAsia="zh-CN"/>
        </w:rPr>
        <w:t xml:space="preserve">  </w:t>
      </w:r>
      <w:r>
        <w:rPr>
          <w:rFonts w:hint="eastAsia" w:ascii="宋体" w:hAnsi="宋体"/>
          <w:b/>
          <w:bCs/>
          <w:color w:val="auto"/>
          <w:sz w:val="24"/>
          <w:szCs w:val="24"/>
          <w:lang w:val="zh-CN" w:eastAsia="zh-CN"/>
        </w:rPr>
        <w:t>预算绩效情况说明</w:t>
      </w:r>
    </w:p>
    <w:p>
      <w:pPr>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一、预算绩效管理工作开展情况</w:t>
      </w:r>
    </w:p>
    <w:p>
      <w:pPr>
        <w:keepNext/>
        <w:keepLines/>
        <w:pageBreakBefore w:val="0"/>
        <w:widowControl/>
        <w:suppressLineNumbers/>
        <w:kinsoku/>
        <w:wordWrap/>
        <w:overflowPunct/>
        <w:topLinePunct w:val="0"/>
        <w:autoSpaceDE/>
        <w:autoSpaceDN/>
        <w:bidi w:val="0"/>
        <w:adjustRightInd/>
        <w:snapToGrid/>
        <w:spacing w:beforeLines="0" w:afterLines="0"/>
        <w:ind w:firstLine="480" w:firstLineChars="200"/>
        <w:jc w:val="both"/>
        <w:textAlignment w:val="auto"/>
        <w:rPr>
          <w:rFonts w:hint="eastAsia" w:ascii="仿宋_GB2312" w:hAnsi="仿宋_GB2312" w:eastAsia="仿宋_GB2312" w:cs="仿宋_GB2312"/>
          <w:color w:val="auto"/>
          <w:sz w:val="32"/>
          <w:szCs w:val="32"/>
          <w:lang w:val="zh-CN"/>
        </w:rPr>
      </w:pPr>
      <w:r>
        <w:rPr>
          <w:rFonts w:hint="eastAsia" w:ascii="宋体" w:hAnsi="宋体" w:eastAsia="宋体" w:cs="宋体"/>
          <w:color w:val="auto"/>
          <w:kern w:val="0"/>
          <w:sz w:val="24"/>
          <w:szCs w:val="24"/>
          <w:lang w:val="en-US"/>
        </w:rPr>
        <w:t>根据预算绩效管理要求,本部门对</w:t>
      </w:r>
      <w:r>
        <w:rPr>
          <w:rFonts w:hint="eastAsia" w:ascii="宋体" w:hAnsi="宋体" w:eastAsia="宋体" w:cs="宋体"/>
          <w:color w:val="auto"/>
          <w:kern w:val="0"/>
          <w:sz w:val="24"/>
          <w:szCs w:val="24"/>
          <w:lang w:val="en-US" w:eastAsia="zh-CN"/>
        </w:rPr>
        <w:t>2023</w:t>
      </w:r>
      <w:r>
        <w:rPr>
          <w:rFonts w:hint="eastAsia" w:ascii="宋体" w:hAnsi="宋体" w:eastAsia="宋体" w:cs="宋体"/>
          <w:color w:val="auto"/>
          <w:kern w:val="0"/>
          <w:sz w:val="24"/>
          <w:szCs w:val="24"/>
          <w:lang w:val="en-US"/>
        </w:rPr>
        <w:t>年度一般公共预算项目支出全面开展绩效自评,其中,一级项目</w:t>
      </w:r>
      <w:r>
        <w:rPr>
          <w:rFonts w:hint="eastAsia" w:ascii="宋体" w:hAnsi="宋体" w:cs="宋体"/>
          <w:color w:val="auto"/>
          <w:kern w:val="0"/>
          <w:sz w:val="24"/>
          <w:szCs w:val="24"/>
          <w:lang w:val="en-US" w:eastAsia="zh-CN"/>
        </w:rPr>
        <w:t>1</w:t>
      </w:r>
      <w:r>
        <w:rPr>
          <w:rFonts w:hint="eastAsia" w:ascii="宋体" w:hAnsi="宋体" w:eastAsia="宋体" w:cs="宋体"/>
          <w:color w:val="auto"/>
          <w:kern w:val="0"/>
          <w:sz w:val="24"/>
          <w:szCs w:val="24"/>
          <w:lang w:val="en-US"/>
        </w:rPr>
        <w:t>个,二级项目</w:t>
      </w:r>
      <w:r>
        <w:rPr>
          <w:rFonts w:hint="eastAsia" w:ascii="宋体" w:hAnsi="宋体" w:cs="宋体"/>
          <w:color w:val="auto"/>
          <w:kern w:val="0"/>
          <w:sz w:val="24"/>
          <w:szCs w:val="24"/>
          <w:lang w:val="en-US" w:eastAsia="zh-CN"/>
        </w:rPr>
        <w:t>0</w:t>
      </w:r>
      <w:r>
        <w:rPr>
          <w:rFonts w:hint="eastAsia" w:ascii="宋体" w:hAnsi="宋体" w:eastAsia="宋体" w:cs="宋体"/>
          <w:color w:val="auto"/>
          <w:kern w:val="0"/>
          <w:sz w:val="24"/>
          <w:szCs w:val="24"/>
          <w:lang w:val="en-US"/>
        </w:rPr>
        <w:t>个,共涉及资金</w:t>
      </w:r>
      <w:r>
        <w:rPr>
          <w:rFonts w:hint="eastAsia" w:ascii="宋体" w:hAnsi="宋体" w:cs="宋体"/>
          <w:color w:val="auto"/>
          <w:kern w:val="0"/>
          <w:sz w:val="24"/>
          <w:szCs w:val="24"/>
          <w:lang w:val="en-US" w:eastAsia="zh-CN"/>
        </w:rPr>
        <w:t>28.33</w:t>
      </w:r>
      <w:r>
        <w:rPr>
          <w:rFonts w:hint="eastAsia" w:ascii="宋体" w:hAnsi="宋体" w:eastAsia="宋体" w:cs="宋体"/>
          <w:color w:val="auto"/>
          <w:kern w:val="0"/>
          <w:sz w:val="24"/>
          <w:szCs w:val="24"/>
          <w:lang w:val="en-US" w:eastAsia="zh-CN"/>
        </w:rPr>
        <w:t>万元</w:t>
      </w:r>
      <w:r>
        <w:rPr>
          <w:rFonts w:hint="eastAsia" w:ascii="宋体" w:hAnsi="宋体" w:eastAsia="宋体" w:cs="宋体"/>
          <w:color w:val="auto"/>
          <w:kern w:val="0"/>
          <w:sz w:val="24"/>
          <w:szCs w:val="24"/>
          <w:lang w:val="en-US"/>
        </w:rPr>
        <w:t>,占一般公共预算项目支出总额的</w:t>
      </w:r>
      <w:r>
        <w:rPr>
          <w:rFonts w:hint="eastAsia" w:ascii="宋体" w:hAnsi="宋体" w:cs="宋体"/>
          <w:color w:val="auto"/>
          <w:kern w:val="0"/>
          <w:sz w:val="24"/>
          <w:szCs w:val="24"/>
          <w:lang w:val="en-US" w:eastAsia="zh-CN"/>
        </w:rPr>
        <w:t>104.93</w:t>
      </w:r>
      <w:r>
        <w:rPr>
          <w:rFonts w:hint="eastAsia" w:ascii="宋体" w:hAnsi="宋体" w:eastAsia="宋体" w:cs="宋体"/>
          <w:color w:val="auto"/>
          <w:kern w:val="0"/>
          <w:sz w:val="24"/>
          <w:szCs w:val="24"/>
          <w:lang w:val="en-US"/>
        </w:rPr>
        <w:t>%。对</w:t>
      </w:r>
      <w:r>
        <w:rPr>
          <w:rFonts w:hint="eastAsia" w:ascii="宋体" w:hAnsi="宋体" w:eastAsia="宋体" w:cs="宋体"/>
          <w:color w:val="auto"/>
          <w:kern w:val="0"/>
          <w:sz w:val="24"/>
          <w:szCs w:val="24"/>
          <w:lang w:val="en-US" w:eastAsia="zh-CN"/>
        </w:rPr>
        <w:t>2023</w:t>
      </w:r>
      <w:r>
        <w:rPr>
          <w:rFonts w:hint="eastAsia" w:ascii="宋体" w:hAnsi="宋体" w:eastAsia="宋体" w:cs="宋体"/>
          <w:color w:val="auto"/>
          <w:kern w:val="0"/>
          <w:sz w:val="24"/>
          <w:szCs w:val="24"/>
          <w:lang w:val="en-US"/>
        </w:rPr>
        <w:t>年度</w:t>
      </w:r>
      <w:r>
        <w:rPr>
          <w:rFonts w:hint="eastAsia" w:ascii="宋体" w:hAnsi="宋体" w:cs="宋体"/>
          <w:color w:val="auto"/>
          <w:kern w:val="0"/>
          <w:sz w:val="24"/>
          <w:szCs w:val="24"/>
          <w:lang w:val="en-US" w:eastAsia="zh-CN"/>
        </w:rPr>
        <w:t>0</w:t>
      </w:r>
      <w:r>
        <w:rPr>
          <w:rFonts w:hint="eastAsia" w:ascii="宋体" w:hAnsi="宋体" w:eastAsia="宋体" w:cs="宋体"/>
          <w:color w:val="auto"/>
          <w:kern w:val="0"/>
          <w:sz w:val="24"/>
          <w:szCs w:val="24"/>
          <w:lang w:val="en-US"/>
        </w:rPr>
        <w:t>个政府性基金预算项目开展绩效自评,共涉及资金</w:t>
      </w:r>
      <w:r>
        <w:rPr>
          <w:rFonts w:hint="eastAsia" w:ascii="宋体" w:hAnsi="宋体" w:cs="宋体"/>
          <w:color w:val="auto"/>
          <w:kern w:val="0"/>
          <w:sz w:val="24"/>
          <w:szCs w:val="24"/>
          <w:lang w:val="en-US" w:eastAsia="zh-CN"/>
        </w:rPr>
        <w:t>0</w:t>
      </w:r>
      <w:r>
        <w:rPr>
          <w:rFonts w:hint="eastAsia" w:ascii="宋体" w:hAnsi="宋体" w:eastAsia="宋体" w:cs="宋体"/>
          <w:color w:val="auto"/>
          <w:kern w:val="0"/>
          <w:sz w:val="24"/>
          <w:szCs w:val="24"/>
          <w:lang w:val="en-US" w:eastAsia="zh-CN"/>
        </w:rPr>
        <w:t>万元</w:t>
      </w:r>
      <w:r>
        <w:rPr>
          <w:rFonts w:hint="eastAsia" w:ascii="宋体" w:hAnsi="宋体" w:eastAsia="宋体" w:cs="宋体"/>
          <w:color w:val="auto"/>
          <w:kern w:val="0"/>
          <w:sz w:val="24"/>
          <w:szCs w:val="24"/>
          <w:lang w:val="en-US"/>
        </w:rPr>
        <w:t>,占政府性基金预算项目支出总额的</w:t>
      </w:r>
      <w:r>
        <w:rPr>
          <w:rFonts w:hint="eastAsia" w:ascii="宋体" w:hAnsi="宋体" w:cs="宋体"/>
          <w:color w:val="auto"/>
          <w:kern w:val="0"/>
          <w:sz w:val="24"/>
          <w:szCs w:val="24"/>
          <w:lang w:val="en-US" w:eastAsia="zh-CN"/>
        </w:rPr>
        <w:t>0</w:t>
      </w:r>
      <w:r>
        <w:rPr>
          <w:rFonts w:hint="eastAsia" w:ascii="宋体" w:hAnsi="宋体" w:eastAsia="宋体" w:cs="宋体"/>
          <w:color w:val="auto"/>
          <w:kern w:val="0"/>
          <w:sz w:val="24"/>
          <w:szCs w:val="24"/>
          <w:lang w:val="en-US"/>
        </w:rPr>
        <w:t>%。组织对</w:t>
      </w:r>
      <w:r>
        <w:rPr>
          <w:rFonts w:hint="eastAsia" w:ascii="宋体" w:hAnsi="宋体" w:eastAsia="宋体" w:cs="宋体"/>
          <w:color w:val="auto"/>
          <w:kern w:val="0"/>
          <w:sz w:val="24"/>
          <w:szCs w:val="24"/>
          <w:lang w:val="en-US" w:eastAsia="zh-CN"/>
        </w:rPr>
        <w:t>2023</w:t>
      </w:r>
      <w:r>
        <w:rPr>
          <w:rFonts w:hint="eastAsia" w:ascii="宋体" w:hAnsi="宋体" w:eastAsia="宋体" w:cs="宋体"/>
          <w:color w:val="auto"/>
          <w:kern w:val="0"/>
          <w:sz w:val="24"/>
          <w:szCs w:val="24"/>
          <w:lang w:val="en-US"/>
        </w:rPr>
        <w:t>年度</w:t>
      </w:r>
      <w:r>
        <w:rPr>
          <w:rFonts w:hint="eastAsia" w:ascii="宋体" w:hAnsi="宋体" w:cs="宋体"/>
          <w:color w:val="auto"/>
          <w:kern w:val="0"/>
          <w:sz w:val="24"/>
          <w:szCs w:val="24"/>
          <w:lang w:val="en-US" w:eastAsia="zh-CN"/>
        </w:rPr>
        <w:t>0</w:t>
      </w:r>
      <w:r>
        <w:rPr>
          <w:rFonts w:hint="eastAsia" w:ascii="宋体" w:hAnsi="宋体" w:eastAsia="宋体" w:cs="宋体"/>
          <w:color w:val="auto"/>
          <w:kern w:val="0"/>
          <w:sz w:val="24"/>
          <w:szCs w:val="24"/>
          <w:lang w:val="en-US"/>
        </w:rPr>
        <w:t>个国有资本经营预算项目开展绩效自评,共涉及资金</w:t>
      </w:r>
      <w:r>
        <w:rPr>
          <w:rFonts w:hint="eastAsia" w:ascii="宋体" w:hAnsi="宋体" w:cs="宋体"/>
          <w:color w:val="auto"/>
          <w:kern w:val="0"/>
          <w:sz w:val="24"/>
          <w:szCs w:val="24"/>
          <w:lang w:val="en-US" w:eastAsia="zh-CN"/>
        </w:rPr>
        <w:t>0</w:t>
      </w:r>
      <w:r>
        <w:rPr>
          <w:rFonts w:hint="eastAsia" w:ascii="宋体" w:hAnsi="宋体" w:eastAsia="宋体" w:cs="宋体"/>
          <w:color w:val="auto"/>
          <w:kern w:val="0"/>
          <w:sz w:val="24"/>
          <w:szCs w:val="24"/>
          <w:lang w:val="en-US" w:eastAsia="zh-CN"/>
        </w:rPr>
        <w:t>万元</w:t>
      </w:r>
      <w:r>
        <w:rPr>
          <w:rFonts w:hint="eastAsia" w:ascii="宋体" w:hAnsi="宋体" w:eastAsia="宋体" w:cs="宋体"/>
          <w:color w:val="auto"/>
          <w:kern w:val="0"/>
          <w:sz w:val="24"/>
          <w:szCs w:val="24"/>
          <w:lang w:val="en-US"/>
        </w:rPr>
        <w:t>,占国有资本经营预算项目支出总额的</w:t>
      </w:r>
      <w:r>
        <w:rPr>
          <w:rFonts w:hint="eastAsia" w:ascii="宋体" w:hAnsi="宋体" w:cs="宋体"/>
          <w:color w:val="auto"/>
          <w:kern w:val="0"/>
          <w:sz w:val="24"/>
          <w:szCs w:val="24"/>
          <w:lang w:val="en-US" w:eastAsia="zh-CN"/>
        </w:rPr>
        <w:t>0</w:t>
      </w:r>
      <w:r>
        <w:rPr>
          <w:rFonts w:hint="eastAsia" w:ascii="宋体" w:hAnsi="宋体" w:eastAsia="宋体" w:cs="宋体"/>
          <w:color w:val="auto"/>
          <w:kern w:val="0"/>
          <w:sz w:val="24"/>
          <w:szCs w:val="24"/>
          <w:lang w:val="en-US"/>
        </w:rPr>
        <w:t>%。组织对</w:t>
      </w:r>
      <w:r>
        <w:rPr>
          <w:rFonts w:hint="eastAsia" w:ascii="宋体" w:hAnsi="宋体" w:cs="宋体"/>
          <w:color w:val="auto"/>
          <w:kern w:val="0"/>
          <w:sz w:val="24"/>
          <w:szCs w:val="24"/>
          <w:lang w:val="en-US" w:eastAsia="zh-CN"/>
        </w:rPr>
        <w:t>0</w:t>
      </w:r>
      <w:r>
        <w:rPr>
          <w:rFonts w:hint="eastAsia" w:ascii="宋体" w:hAnsi="宋体" w:eastAsia="宋体" w:cs="宋体"/>
          <w:color w:val="auto"/>
          <w:kern w:val="0"/>
          <w:sz w:val="24"/>
          <w:szCs w:val="24"/>
          <w:lang w:val="en-US"/>
        </w:rPr>
        <w:t>个项目开展了部门评价,涉及一般公共预算支出</w:t>
      </w:r>
      <w:r>
        <w:rPr>
          <w:rFonts w:hint="eastAsia" w:ascii="宋体" w:hAnsi="宋体" w:cs="宋体"/>
          <w:color w:val="auto"/>
          <w:kern w:val="0"/>
          <w:sz w:val="24"/>
          <w:szCs w:val="24"/>
          <w:lang w:val="en-US" w:eastAsia="zh-CN"/>
        </w:rPr>
        <w:t>0</w:t>
      </w:r>
      <w:r>
        <w:rPr>
          <w:rFonts w:hint="eastAsia" w:ascii="宋体" w:hAnsi="宋体" w:eastAsia="宋体" w:cs="宋体"/>
          <w:color w:val="auto"/>
          <w:kern w:val="0"/>
          <w:sz w:val="24"/>
          <w:szCs w:val="24"/>
          <w:lang w:val="en-US" w:eastAsia="zh-CN"/>
        </w:rPr>
        <w:t>万元</w:t>
      </w:r>
      <w:r>
        <w:rPr>
          <w:rFonts w:hint="eastAsia" w:ascii="宋体" w:hAnsi="宋体" w:eastAsia="宋体" w:cs="宋体"/>
          <w:color w:val="auto"/>
          <w:kern w:val="0"/>
          <w:sz w:val="24"/>
          <w:szCs w:val="24"/>
          <w:lang w:val="en-US"/>
        </w:rPr>
        <w:t>,政府性基金预算支出</w:t>
      </w:r>
      <w:r>
        <w:rPr>
          <w:rFonts w:hint="eastAsia" w:ascii="宋体" w:hAnsi="宋体" w:cs="宋体"/>
          <w:color w:val="auto"/>
          <w:kern w:val="0"/>
          <w:sz w:val="24"/>
          <w:szCs w:val="24"/>
          <w:lang w:val="en-US" w:eastAsia="zh-CN"/>
        </w:rPr>
        <w:t>0</w:t>
      </w:r>
      <w:r>
        <w:rPr>
          <w:rFonts w:hint="eastAsia" w:ascii="宋体" w:hAnsi="宋体" w:eastAsia="宋体" w:cs="宋体"/>
          <w:color w:val="auto"/>
          <w:kern w:val="0"/>
          <w:sz w:val="24"/>
          <w:szCs w:val="24"/>
          <w:lang w:val="en-US" w:eastAsia="zh-CN"/>
        </w:rPr>
        <w:t>万元</w:t>
      </w:r>
      <w:r>
        <w:rPr>
          <w:rFonts w:hint="eastAsia" w:ascii="宋体" w:hAnsi="宋体" w:eastAsia="宋体" w:cs="宋体"/>
          <w:color w:val="auto"/>
          <w:kern w:val="0"/>
          <w:sz w:val="24"/>
          <w:szCs w:val="24"/>
          <w:lang w:val="en-US"/>
        </w:rPr>
        <w:t>,国有资本经营预算支出</w:t>
      </w:r>
      <w:r>
        <w:rPr>
          <w:rFonts w:hint="eastAsia" w:ascii="宋体" w:hAnsi="宋体" w:cs="宋体"/>
          <w:color w:val="auto"/>
          <w:kern w:val="0"/>
          <w:sz w:val="24"/>
          <w:szCs w:val="24"/>
          <w:lang w:val="en-US" w:eastAsia="zh-CN"/>
        </w:rPr>
        <w:t>0</w:t>
      </w:r>
      <w:r>
        <w:rPr>
          <w:rFonts w:hint="eastAsia" w:ascii="宋体" w:hAnsi="宋体" w:eastAsia="宋体" w:cs="宋体"/>
          <w:color w:val="auto"/>
          <w:kern w:val="0"/>
          <w:sz w:val="24"/>
          <w:szCs w:val="24"/>
          <w:lang w:val="en-US" w:eastAsia="zh-CN"/>
        </w:rPr>
        <w:t>万元</w:t>
      </w:r>
      <w:r>
        <w:rPr>
          <w:rFonts w:hint="eastAsia" w:ascii="宋体" w:hAnsi="宋体" w:eastAsia="宋体" w:cs="宋体"/>
          <w:color w:val="auto"/>
          <w:kern w:val="0"/>
          <w:sz w:val="24"/>
          <w:szCs w:val="24"/>
          <w:lang w:val="en-US"/>
        </w:rPr>
        <w:t>。</w:t>
      </w:r>
    </w:p>
    <w:p>
      <w:pPr>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二、绩效自评结果</w:t>
      </w:r>
    </w:p>
    <w:p>
      <w:pPr>
        <w:keepNext/>
        <w:keepLines/>
        <w:pageBreakBefore w:val="0"/>
        <w:widowControl/>
        <w:suppressLineNumbers/>
        <w:kinsoku/>
        <w:wordWrap/>
        <w:overflowPunct/>
        <w:topLinePunct w:val="0"/>
        <w:autoSpaceDE/>
        <w:autoSpaceDN/>
        <w:bidi w:val="0"/>
        <w:adjustRightInd/>
        <w:snapToGrid/>
        <w:spacing w:beforeLines="0" w:afterLines="0"/>
        <w:ind w:firstLine="480" w:firstLineChars="200"/>
        <w:jc w:val="both"/>
        <w:textAlignment w:val="auto"/>
        <w:rPr>
          <w:rFonts w:hint="eastAsia" w:ascii="宋体" w:hAnsi="宋体" w:eastAsia="宋体" w:cs="宋体"/>
          <w:color w:val="auto"/>
          <w:kern w:val="0"/>
          <w:sz w:val="24"/>
          <w:szCs w:val="24"/>
          <w:highlight w:val="none"/>
          <w:lang w:val="en-US"/>
        </w:rPr>
      </w:pPr>
      <w:r>
        <w:rPr>
          <w:rFonts w:hint="eastAsia" w:ascii="宋体" w:hAnsi="宋体" w:eastAsia="宋体" w:cs="宋体"/>
          <w:color w:val="auto"/>
          <w:kern w:val="0"/>
          <w:sz w:val="24"/>
          <w:szCs w:val="24"/>
          <w:highlight w:val="none"/>
          <w:lang w:val="en-US"/>
        </w:rPr>
        <w:t>我部门在</w:t>
      </w:r>
      <w:r>
        <w:rPr>
          <w:rFonts w:hint="eastAsia" w:ascii="宋体" w:hAnsi="宋体" w:eastAsia="宋体" w:cs="宋体"/>
          <w:color w:val="auto"/>
          <w:kern w:val="0"/>
          <w:sz w:val="24"/>
          <w:szCs w:val="24"/>
          <w:highlight w:val="none"/>
          <w:lang w:val="en-US" w:eastAsia="zh-CN"/>
        </w:rPr>
        <w:t>2023</w:t>
      </w:r>
      <w:r>
        <w:rPr>
          <w:rFonts w:hint="eastAsia" w:ascii="宋体" w:hAnsi="宋体" w:eastAsia="宋体" w:cs="宋体"/>
          <w:color w:val="auto"/>
          <w:kern w:val="0"/>
          <w:sz w:val="24"/>
          <w:szCs w:val="24"/>
          <w:highlight w:val="none"/>
          <w:lang w:val="en-US"/>
        </w:rPr>
        <w:t>年度部门决算中反映</w:t>
      </w:r>
      <w:r>
        <w:rPr>
          <w:rFonts w:hint="eastAsia" w:ascii="宋体" w:hAnsi="宋体"/>
          <w:color w:val="auto"/>
          <w:kern w:val="0"/>
          <w:sz w:val="24"/>
          <w:szCs w:val="24"/>
          <w:lang w:val="en-US" w:eastAsia="zh-CN"/>
        </w:rPr>
        <w:t>2023年城镇保障性安居工程租赁补贴发放项目</w:t>
      </w:r>
      <w:r>
        <w:rPr>
          <w:rFonts w:hint="eastAsia" w:ascii="宋体" w:hAnsi="宋体" w:cs="宋体"/>
          <w:color w:val="auto"/>
          <w:kern w:val="0"/>
          <w:sz w:val="24"/>
          <w:szCs w:val="24"/>
          <w:highlight w:val="none"/>
          <w:lang w:val="en-US" w:eastAsia="zh-CN"/>
        </w:rPr>
        <w:t>共1</w:t>
      </w:r>
      <w:r>
        <w:rPr>
          <w:rFonts w:hint="eastAsia" w:ascii="宋体" w:hAnsi="宋体" w:eastAsia="宋体" w:cs="宋体"/>
          <w:color w:val="auto"/>
          <w:kern w:val="0"/>
          <w:sz w:val="24"/>
          <w:szCs w:val="24"/>
          <w:highlight w:val="none"/>
          <w:lang w:val="en-US"/>
        </w:rPr>
        <w:t>个项目绩效自评结果。</w:t>
      </w:r>
    </w:p>
    <w:p>
      <w:pPr>
        <w:keepNext/>
        <w:keepLines/>
        <w:pageBreakBefore w:val="0"/>
        <w:widowControl/>
        <w:numPr>
          <w:ilvl w:val="0"/>
          <w:numId w:val="3"/>
        </w:numPr>
        <w:suppressLineNumbers/>
        <w:kinsoku/>
        <w:wordWrap/>
        <w:overflowPunct/>
        <w:topLinePunct w:val="0"/>
        <w:autoSpaceDE/>
        <w:autoSpaceDN/>
        <w:bidi w:val="0"/>
        <w:adjustRightInd/>
        <w:snapToGrid/>
        <w:spacing w:beforeLines="0" w:afterLines="0"/>
        <w:ind w:firstLine="480" w:firstLineChars="200"/>
        <w:jc w:val="both"/>
        <w:textAlignment w:val="auto"/>
        <w:rPr>
          <w:rFonts w:hint="eastAsia" w:ascii="宋体" w:hAnsi="宋体" w:eastAsia="宋体" w:cs="宋体"/>
          <w:color w:val="auto"/>
          <w:kern w:val="0"/>
          <w:sz w:val="24"/>
          <w:szCs w:val="24"/>
          <w:lang w:val="en-US"/>
        </w:rPr>
      </w:pPr>
      <w:r>
        <w:rPr>
          <w:rFonts w:hint="eastAsia" w:ascii="宋体" w:hAnsi="宋体" w:eastAsia="宋体" w:cs="宋体"/>
          <w:color w:val="auto"/>
          <w:kern w:val="0"/>
          <w:sz w:val="24"/>
          <w:szCs w:val="24"/>
          <w:lang w:val="en-US" w:eastAsia="zh-CN"/>
        </w:rPr>
        <w:t>“</w:t>
      </w:r>
      <w:r>
        <w:rPr>
          <w:rFonts w:hint="eastAsia" w:ascii="宋体" w:hAnsi="宋体"/>
          <w:color w:val="auto"/>
          <w:kern w:val="0"/>
          <w:sz w:val="24"/>
          <w:szCs w:val="24"/>
          <w:lang w:val="en-US" w:eastAsia="zh-CN"/>
        </w:rPr>
        <w:t>2023年城镇保障性安居工程租赁补贴发放项目</w:t>
      </w:r>
      <w:r>
        <w:rPr>
          <w:rFonts w:hint="eastAsia" w:ascii="宋体" w:hAnsi="宋体" w:eastAsia="宋体" w:cs="宋体"/>
          <w:color w:val="auto"/>
          <w:kern w:val="0"/>
          <w:sz w:val="24"/>
          <w:szCs w:val="24"/>
          <w:lang w:val="en-US" w:eastAsia="zh-CN"/>
        </w:rPr>
        <w:t>”</w:t>
      </w:r>
      <w:r>
        <w:rPr>
          <w:rFonts w:hint="eastAsia" w:ascii="宋体" w:hAnsi="宋体" w:eastAsia="宋体" w:cs="宋体"/>
          <w:color w:val="auto"/>
          <w:kern w:val="0"/>
          <w:sz w:val="24"/>
          <w:szCs w:val="24"/>
          <w:lang w:val="en-US"/>
        </w:rPr>
        <w:t>项目绩效自评情况：根据年初设定的绩效目标,项目绩效自评得分为</w:t>
      </w:r>
      <w:r>
        <w:rPr>
          <w:rFonts w:hint="eastAsia" w:ascii="宋体" w:hAnsi="宋体" w:cs="宋体"/>
          <w:color w:val="auto"/>
          <w:kern w:val="0"/>
          <w:sz w:val="24"/>
          <w:szCs w:val="24"/>
          <w:lang w:val="en-US" w:eastAsia="zh-CN"/>
        </w:rPr>
        <w:t>100</w:t>
      </w:r>
      <w:r>
        <w:rPr>
          <w:rFonts w:hint="eastAsia" w:ascii="宋体" w:hAnsi="宋体" w:eastAsia="宋体" w:cs="宋体"/>
          <w:color w:val="auto"/>
          <w:kern w:val="0"/>
          <w:sz w:val="24"/>
          <w:szCs w:val="24"/>
          <w:lang w:val="en-US"/>
        </w:rPr>
        <w:t>分。项目全年预算数为</w:t>
      </w:r>
      <w:r>
        <w:rPr>
          <w:rFonts w:hint="eastAsia" w:ascii="宋体" w:hAnsi="宋体" w:cs="宋体"/>
          <w:color w:val="auto"/>
          <w:kern w:val="0"/>
          <w:sz w:val="24"/>
          <w:szCs w:val="24"/>
          <w:lang w:val="en-US" w:eastAsia="zh-CN"/>
        </w:rPr>
        <w:t>27</w:t>
      </w:r>
      <w:r>
        <w:rPr>
          <w:rFonts w:hint="eastAsia" w:ascii="宋体" w:hAnsi="宋体" w:eastAsia="宋体" w:cs="宋体"/>
          <w:color w:val="auto"/>
          <w:kern w:val="0"/>
          <w:sz w:val="24"/>
          <w:szCs w:val="24"/>
          <w:lang w:val="en-US" w:eastAsia="zh-CN"/>
        </w:rPr>
        <w:t>万元</w:t>
      </w:r>
      <w:r>
        <w:rPr>
          <w:rFonts w:hint="eastAsia" w:ascii="宋体" w:hAnsi="宋体" w:eastAsia="宋体" w:cs="宋体"/>
          <w:color w:val="auto"/>
          <w:kern w:val="0"/>
          <w:sz w:val="24"/>
          <w:szCs w:val="24"/>
          <w:lang w:val="en-US"/>
        </w:rPr>
        <w:t>,执行数为</w:t>
      </w:r>
      <w:r>
        <w:rPr>
          <w:rFonts w:hint="eastAsia" w:ascii="宋体" w:hAnsi="宋体" w:cs="宋体"/>
          <w:color w:val="auto"/>
          <w:kern w:val="0"/>
          <w:sz w:val="24"/>
          <w:szCs w:val="24"/>
          <w:lang w:val="en-US" w:eastAsia="zh-CN"/>
        </w:rPr>
        <w:t>28.33</w:t>
      </w:r>
      <w:r>
        <w:rPr>
          <w:rFonts w:hint="eastAsia" w:ascii="宋体" w:hAnsi="宋体" w:eastAsia="宋体" w:cs="宋体"/>
          <w:color w:val="auto"/>
          <w:kern w:val="0"/>
          <w:sz w:val="24"/>
          <w:szCs w:val="24"/>
          <w:lang w:val="en-US" w:eastAsia="zh-CN"/>
        </w:rPr>
        <w:t>万元</w:t>
      </w:r>
      <w:r>
        <w:rPr>
          <w:rFonts w:hint="eastAsia" w:ascii="宋体" w:hAnsi="宋体" w:eastAsia="宋体" w:cs="宋体"/>
          <w:color w:val="auto"/>
          <w:kern w:val="0"/>
          <w:sz w:val="24"/>
          <w:szCs w:val="24"/>
          <w:lang w:val="en-US"/>
        </w:rPr>
        <w:t>,完成预算的</w:t>
      </w:r>
      <w:r>
        <w:rPr>
          <w:rFonts w:hint="eastAsia" w:ascii="宋体" w:hAnsi="宋体" w:cs="宋体"/>
          <w:color w:val="auto"/>
          <w:kern w:val="0"/>
          <w:sz w:val="24"/>
          <w:szCs w:val="24"/>
          <w:lang w:val="en-US" w:eastAsia="zh-CN"/>
        </w:rPr>
        <w:t>104.93</w:t>
      </w:r>
      <w:r>
        <w:rPr>
          <w:rFonts w:hint="eastAsia" w:ascii="宋体" w:hAnsi="宋体" w:eastAsia="宋体" w:cs="宋体"/>
          <w:color w:val="auto"/>
          <w:kern w:val="0"/>
          <w:sz w:val="24"/>
          <w:szCs w:val="24"/>
          <w:lang w:val="en-US"/>
        </w:rPr>
        <w:t>%。项目绩效目标完成情况：</w:t>
      </w:r>
      <w:r>
        <w:rPr>
          <w:rFonts w:hint="eastAsia" w:ascii="宋体" w:hAnsi="宋体" w:eastAsia="宋体" w:cs="宋体"/>
          <w:color w:val="auto"/>
          <w:kern w:val="0"/>
          <w:sz w:val="24"/>
          <w:szCs w:val="24"/>
          <w:lang w:val="en-US"/>
        </w:rPr>
        <w:t>一是</w:t>
      </w:r>
      <w:r>
        <w:rPr>
          <w:rFonts w:hint="eastAsia" w:ascii="宋体" w:hAnsi="宋体" w:cs="宋体"/>
          <w:color w:val="auto"/>
          <w:kern w:val="0"/>
          <w:sz w:val="24"/>
          <w:szCs w:val="24"/>
          <w:lang w:val="en-US" w:eastAsia="zh-CN"/>
        </w:rPr>
        <w:t>完成</w:t>
      </w:r>
      <w:r>
        <w:rPr>
          <w:rFonts w:hint="eastAsia" w:ascii="宋体" w:hAnsi="宋体" w:eastAsia="宋体" w:cs="宋体"/>
          <w:color w:val="auto"/>
          <w:kern w:val="0"/>
          <w:sz w:val="24"/>
          <w:szCs w:val="24"/>
          <w:lang w:val="en-US"/>
        </w:rPr>
        <w:t>租赁补贴发放户数</w:t>
      </w:r>
      <w:r>
        <w:rPr>
          <w:rFonts w:hint="eastAsia" w:ascii="宋体" w:hAnsi="宋体" w:cs="宋体"/>
          <w:color w:val="auto"/>
          <w:kern w:val="0"/>
          <w:sz w:val="24"/>
          <w:szCs w:val="24"/>
          <w:lang w:val="en-US" w:eastAsia="zh-CN"/>
        </w:rPr>
        <w:t>120户</w:t>
      </w:r>
      <w:r>
        <w:rPr>
          <w:rFonts w:hint="eastAsia" w:ascii="宋体" w:hAnsi="宋体" w:eastAsia="宋体" w:cs="宋体"/>
          <w:color w:val="auto"/>
          <w:kern w:val="0"/>
          <w:sz w:val="24"/>
          <w:szCs w:val="24"/>
          <w:lang w:val="en-US"/>
        </w:rPr>
        <w:t>；二是</w:t>
      </w:r>
      <w:r>
        <w:rPr>
          <w:rFonts w:hint="eastAsia" w:ascii="宋体" w:hAnsi="宋体" w:cs="宋体"/>
          <w:color w:val="auto"/>
          <w:kern w:val="0"/>
          <w:sz w:val="24"/>
          <w:szCs w:val="24"/>
          <w:lang w:val="en-US" w:eastAsia="zh-CN"/>
        </w:rPr>
        <w:t>完成</w:t>
      </w:r>
      <w:r>
        <w:rPr>
          <w:rFonts w:hint="eastAsia" w:ascii="宋体" w:hAnsi="宋体" w:eastAsia="宋体" w:cs="宋体"/>
          <w:color w:val="auto"/>
          <w:kern w:val="0"/>
          <w:sz w:val="24"/>
          <w:szCs w:val="24"/>
          <w:lang w:val="en-US"/>
        </w:rPr>
        <w:t>发放租赁补贴资金</w:t>
      </w:r>
      <w:r>
        <w:rPr>
          <w:rFonts w:hint="eastAsia" w:ascii="宋体" w:hAnsi="宋体" w:cs="宋体"/>
          <w:color w:val="auto"/>
          <w:kern w:val="0"/>
          <w:sz w:val="24"/>
          <w:szCs w:val="24"/>
          <w:lang w:val="en-US" w:eastAsia="zh-CN"/>
        </w:rPr>
        <w:t>28.33万元；三是解决城镇低收入家庭租房租金困难，改善城镇低收入住房困难家庭生活条件</w:t>
      </w:r>
      <w:r>
        <w:rPr>
          <w:rFonts w:hint="eastAsia" w:ascii="宋体" w:hAnsi="宋体" w:eastAsia="宋体" w:cs="宋体"/>
          <w:color w:val="auto"/>
          <w:kern w:val="0"/>
          <w:sz w:val="24"/>
          <w:szCs w:val="24"/>
          <w:lang w:val="en-US"/>
        </w:rPr>
        <w:t>。</w:t>
      </w:r>
      <w:r>
        <w:rPr>
          <w:rFonts w:hint="eastAsia" w:ascii="宋体" w:hAnsi="宋体" w:eastAsia="宋体" w:cs="宋体"/>
          <w:color w:val="auto"/>
          <w:kern w:val="0"/>
          <w:sz w:val="24"/>
          <w:szCs w:val="24"/>
          <w:lang w:val="en-US"/>
        </w:rPr>
        <w:t>发现的主要问题及原因：</w:t>
      </w:r>
      <w:r>
        <w:rPr>
          <w:rFonts w:hint="eastAsia" w:ascii="宋体" w:hAnsi="宋体"/>
          <w:color w:val="auto"/>
          <w:kern w:val="0"/>
          <w:sz w:val="24"/>
          <w:szCs w:val="24"/>
          <w:lang w:val="en-US" w:eastAsia="zh-CN"/>
        </w:rPr>
        <w:t>无</w:t>
      </w:r>
      <w:r>
        <w:rPr>
          <w:rFonts w:hint="eastAsia" w:ascii="宋体" w:hAnsi="宋体" w:eastAsia="宋体" w:cs="宋体"/>
          <w:color w:val="auto"/>
          <w:kern w:val="0"/>
          <w:sz w:val="24"/>
          <w:szCs w:val="24"/>
          <w:lang w:val="en-US"/>
        </w:rPr>
        <w:t>。</w:t>
      </w:r>
    </w:p>
    <w:p>
      <w:pPr>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三、部门绩效评价结果</w:t>
      </w:r>
    </w:p>
    <w:p>
      <w:pPr>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华池县房产服务中心</w:t>
      </w:r>
      <w:r>
        <w:rPr>
          <w:rFonts w:hint="eastAsia" w:ascii="宋体" w:hAnsi="宋体"/>
          <w:color w:val="auto"/>
          <w:sz w:val="24"/>
          <w:szCs w:val="24"/>
          <w:lang w:val="en-US"/>
        </w:rPr>
        <w:t>202</w:t>
      </w:r>
      <w:r>
        <w:rPr>
          <w:rFonts w:hint="eastAsia" w:ascii="宋体" w:hAnsi="宋体"/>
          <w:color w:val="auto"/>
          <w:sz w:val="24"/>
          <w:szCs w:val="24"/>
          <w:lang w:val="en-US" w:eastAsia="zh-CN"/>
        </w:rPr>
        <w:t>3</w:t>
      </w:r>
      <w:r>
        <w:rPr>
          <w:rFonts w:hint="eastAsia" w:ascii="宋体" w:hAnsi="宋体"/>
          <w:color w:val="auto"/>
          <w:sz w:val="24"/>
          <w:szCs w:val="24"/>
          <w:lang w:val="en-US"/>
        </w:rPr>
        <w:t>年度</w:t>
      </w:r>
      <w:r>
        <w:rPr>
          <w:rFonts w:hint="eastAsia" w:ascii="宋体" w:hAnsi="宋体"/>
          <w:color w:val="auto"/>
          <w:sz w:val="24"/>
          <w:szCs w:val="24"/>
          <w:lang w:val="en-US" w:eastAsia="zh-CN"/>
        </w:rPr>
        <w:t>部门支出整体绩效评价结果为“优”</w:t>
      </w:r>
      <w:r>
        <w:rPr>
          <w:rFonts w:hint="eastAsia" w:ascii="宋体" w:hAnsi="宋体"/>
          <w:color w:val="auto"/>
          <w:sz w:val="24"/>
          <w:szCs w:val="24"/>
          <w:lang w:val="zh-CN"/>
        </w:rPr>
        <w:t>。</w:t>
      </w:r>
    </w:p>
    <w:p>
      <w:pPr>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eastAsia="宋体"/>
          <w:color w:val="auto"/>
          <w:sz w:val="24"/>
          <w:szCs w:val="24"/>
          <w:lang w:val="en-US" w:eastAsia="zh-CN"/>
        </w:rPr>
      </w:pPr>
      <w:r>
        <w:rPr>
          <w:rFonts w:hint="eastAsia" w:ascii="宋体" w:hAnsi="宋体"/>
          <w:color w:val="auto"/>
          <w:sz w:val="24"/>
          <w:szCs w:val="24"/>
          <w:lang w:val="en-US" w:eastAsia="zh-CN"/>
        </w:rPr>
        <w:t>附件：2023年部门（单位）整体支出绩效自评表、项目自评表。</w:t>
      </w:r>
    </w:p>
    <w:p>
      <w:pPr>
        <w:pageBreakBefore w:val="0"/>
        <w:widowControl/>
        <w:kinsoku/>
        <w:wordWrap/>
        <w:overflowPunct/>
        <w:topLinePunct w:val="0"/>
        <w:autoSpaceDE/>
        <w:autoSpaceDN/>
        <w:bidi w:val="0"/>
        <w:adjustRightInd/>
        <w:snapToGrid/>
        <w:spacing w:before="100" w:beforeLines="0" w:after="100" w:afterLines="0"/>
        <w:ind w:firstLine="482" w:firstLineChars="200"/>
        <w:jc w:val="center"/>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第五部分</w:t>
      </w:r>
      <w:r>
        <w:rPr>
          <w:rFonts w:hint="eastAsia" w:ascii="宋体" w:hAnsi="宋体"/>
          <w:b/>
          <w:bCs/>
          <w:color w:val="auto"/>
          <w:sz w:val="24"/>
          <w:szCs w:val="24"/>
          <w:lang w:val="en-US" w:eastAsia="zh-CN"/>
        </w:rPr>
        <w:t xml:space="preserve">  </w:t>
      </w:r>
      <w:r>
        <w:rPr>
          <w:rFonts w:hint="eastAsia" w:ascii="宋体" w:hAnsi="宋体"/>
          <w:b/>
          <w:bCs/>
          <w:color w:val="auto"/>
          <w:sz w:val="24"/>
          <w:szCs w:val="24"/>
          <w:lang w:val="zh-CN" w:eastAsia="zh-CN"/>
        </w:rPr>
        <w:t>名词解释</w:t>
      </w:r>
    </w:p>
    <w:p>
      <w:pPr>
        <w:pageBreakBefore w:val="0"/>
        <w:widowControl/>
        <w:kinsoku/>
        <w:wordWrap/>
        <w:overflowPunct/>
        <w:topLinePunct w:val="0"/>
        <w:autoSpaceDE/>
        <w:autoSpaceDN/>
        <w:bidi w:val="0"/>
        <w:adjustRightInd/>
        <w:snapToGrid/>
        <w:spacing w:before="100" w:beforeLines="0" w:after="100" w:afterLines="0"/>
        <w:ind w:firstLine="482" w:firstLineChars="200"/>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一、财政拨款收入</w:t>
      </w:r>
      <w:r>
        <w:rPr>
          <w:rFonts w:hint="eastAsia" w:ascii="宋体" w:hAnsi="宋体" w:eastAsia="宋体" w:cs="宋体"/>
          <w:color w:val="auto"/>
          <w:sz w:val="24"/>
          <w:szCs w:val="24"/>
          <w:lang w:val="zh-CN"/>
        </w:rPr>
        <w:t>：指本年度从同级财政部门取得的财政拨款,包括一般公共预算财政拨款、政府性基金预算财政拨款和国有资本经营预算财政拨款。</w:t>
      </w:r>
    </w:p>
    <w:p>
      <w:pPr>
        <w:pageBreakBefore w:val="0"/>
        <w:widowControl/>
        <w:kinsoku/>
        <w:wordWrap/>
        <w:overflowPunct/>
        <w:topLinePunct w:val="0"/>
        <w:autoSpaceDE/>
        <w:autoSpaceDN/>
        <w:bidi w:val="0"/>
        <w:adjustRightInd/>
        <w:snapToGrid/>
        <w:spacing w:before="100" w:beforeLines="0" w:after="100" w:afterLines="0"/>
        <w:ind w:firstLine="482" w:firstLineChars="200"/>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二、事业收入</w:t>
      </w:r>
      <w:r>
        <w:rPr>
          <w:rFonts w:hint="eastAsia" w:ascii="宋体" w:hAnsi="宋体" w:eastAsia="宋体" w:cs="宋体"/>
          <w:color w:val="auto"/>
          <w:sz w:val="24"/>
          <w:szCs w:val="24"/>
          <w:lang w:val="zh-CN"/>
        </w:rPr>
        <w:t>：指事业单位开展专业业务活动及其辅助活动取得的收入。</w:t>
      </w:r>
    </w:p>
    <w:p>
      <w:pPr>
        <w:pageBreakBefore w:val="0"/>
        <w:widowControl/>
        <w:kinsoku/>
        <w:wordWrap/>
        <w:overflowPunct/>
        <w:topLinePunct w:val="0"/>
        <w:autoSpaceDE/>
        <w:autoSpaceDN/>
        <w:bidi w:val="0"/>
        <w:adjustRightInd/>
        <w:snapToGrid/>
        <w:spacing w:before="100" w:beforeLines="0" w:after="100" w:afterLines="0"/>
        <w:ind w:firstLine="482" w:firstLineChars="200"/>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三、经营收入</w:t>
      </w:r>
      <w:r>
        <w:rPr>
          <w:rFonts w:hint="eastAsia" w:ascii="宋体" w:hAnsi="宋体" w:eastAsia="宋体" w:cs="宋体"/>
          <w:color w:val="auto"/>
          <w:sz w:val="24"/>
          <w:szCs w:val="24"/>
          <w:lang w:val="zh-CN"/>
        </w:rPr>
        <w:t>：指事业单位在专业业务活动及其辅助活动之外开展非独立核算经营活动取得的收入。</w:t>
      </w:r>
    </w:p>
    <w:p>
      <w:pPr>
        <w:pageBreakBefore w:val="0"/>
        <w:widowControl/>
        <w:kinsoku/>
        <w:wordWrap/>
        <w:overflowPunct/>
        <w:topLinePunct w:val="0"/>
        <w:autoSpaceDE/>
        <w:autoSpaceDN/>
        <w:bidi w:val="0"/>
        <w:adjustRightInd/>
        <w:snapToGrid/>
        <w:spacing w:before="100" w:beforeLines="0" w:after="100" w:afterLines="0"/>
        <w:ind w:firstLine="482" w:firstLineChars="200"/>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四、其他收入</w:t>
      </w:r>
      <w:r>
        <w:rPr>
          <w:rFonts w:hint="eastAsia" w:ascii="宋体" w:hAnsi="宋体" w:eastAsia="宋体" w:cs="宋体"/>
          <w:color w:val="auto"/>
          <w:sz w:val="24"/>
          <w:szCs w:val="24"/>
          <w:lang w:val="zh-CN"/>
        </w:rPr>
        <w:t>：指除上述“财政拨款收入”“事业收入”、“经营收入”以外的收入。</w:t>
      </w:r>
    </w:p>
    <w:p>
      <w:pPr>
        <w:pageBreakBefore w:val="0"/>
        <w:widowControl/>
        <w:kinsoku/>
        <w:wordWrap/>
        <w:overflowPunct/>
        <w:topLinePunct w:val="0"/>
        <w:autoSpaceDE/>
        <w:autoSpaceDN/>
        <w:bidi w:val="0"/>
        <w:adjustRightInd/>
        <w:snapToGrid/>
        <w:spacing w:before="100" w:beforeLines="0" w:after="100" w:afterLines="0"/>
        <w:ind w:firstLine="482" w:firstLineChars="200"/>
        <w:jc w:val="both"/>
        <w:textAlignment w:val="auto"/>
        <w:rPr>
          <w:rFonts w:hint="eastAsia" w:ascii="宋体" w:hAnsi="宋体" w:eastAsia="宋体" w:cs="宋体"/>
          <w:b w:val="0"/>
          <w:bCs w:val="0"/>
          <w:color w:val="auto"/>
          <w:sz w:val="24"/>
          <w:szCs w:val="24"/>
          <w:lang w:val="zh-CN"/>
        </w:rPr>
      </w:pPr>
      <w:r>
        <w:rPr>
          <w:rFonts w:hint="eastAsia" w:ascii="宋体" w:hAnsi="宋体" w:eastAsia="宋体" w:cs="宋体"/>
          <w:b/>
          <w:bCs/>
          <w:color w:val="auto"/>
          <w:sz w:val="24"/>
          <w:szCs w:val="24"/>
          <w:lang w:val="zh-CN"/>
        </w:rPr>
        <w:t>五、使用非财政拨款结余（含专用结余）：</w:t>
      </w:r>
      <w:r>
        <w:rPr>
          <w:rFonts w:hint="eastAsia" w:ascii="宋体" w:hAnsi="宋体" w:eastAsia="宋体" w:cs="宋体"/>
          <w:b w:val="0"/>
          <w:bCs w:val="0"/>
          <w:color w:val="auto"/>
          <w:sz w:val="24"/>
          <w:szCs w:val="24"/>
          <w:lang w:val="zh-CN"/>
        </w:rPr>
        <w:t>指事业单位按照预算管理要求使用非财政拨款结余弥补收支差额的金额，以及使用专用结余安排支出的金额。</w:t>
      </w:r>
    </w:p>
    <w:p>
      <w:pPr>
        <w:pageBreakBefore w:val="0"/>
        <w:widowControl/>
        <w:kinsoku/>
        <w:wordWrap/>
        <w:overflowPunct/>
        <w:topLinePunct w:val="0"/>
        <w:autoSpaceDE/>
        <w:autoSpaceDN/>
        <w:bidi w:val="0"/>
        <w:adjustRightInd/>
        <w:snapToGrid/>
        <w:spacing w:before="100" w:beforeLines="0" w:after="100" w:afterLines="0"/>
        <w:ind w:firstLine="482" w:firstLineChars="200"/>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六、年初结转和结余</w:t>
      </w:r>
      <w:r>
        <w:rPr>
          <w:rFonts w:hint="eastAsia" w:ascii="宋体" w:hAnsi="宋体" w:eastAsia="宋体" w:cs="宋体"/>
          <w:color w:val="auto"/>
          <w:sz w:val="24"/>
          <w:szCs w:val="24"/>
          <w:lang w:val="zh-CN"/>
        </w:rPr>
        <w:t>：指单位上年结转至本年使用的基本支出结转、项目支出结转和结余、经营结余。</w:t>
      </w:r>
    </w:p>
    <w:p>
      <w:pPr>
        <w:pageBreakBefore w:val="0"/>
        <w:widowControl/>
        <w:kinsoku/>
        <w:wordWrap/>
        <w:overflowPunct/>
        <w:topLinePunct w:val="0"/>
        <w:autoSpaceDE/>
        <w:autoSpaceDN/>
        <w:bidi w:val="0"/>
        <w:adjustRightInd/>
        <w:snapToGrid/>
        <w:spacing w:before="100" w:beforeLines="0" w:after="100" w:afterLines="0"/>
        <w:ind w:firstLine="482" w:firstLineChars="200"/>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七、结余分配</w:t>
      </w:r>
      <w:r>
        <w:rPr>
          <w:rFonts w:hint="eastAsia" w:ascii="宋体" w:hAnsi="宋体" w:eastAsia="宋体" w:cs="宋体"/>
          <w:color w:val="auto"/>
          <w:sz w:val="24"/>
          <w:szCs w:val="24"/>
          <w:lang w:val="zh-CN"/>
        </w:rPr>
        <w:t>：指单位按照会计制度规定缴纳的所得税、提取的专用结余以及转入非财政拨款结余的金额等。</w:t>
      </w:r>
    </w:p>
    <w:p>
      <w:pPr>
        <w:pageBreakBefore w:val="0"/>
        <w:widowControl/>
        <w:kinsoku/>
        <w:wordWrap/>
        <w:overflowPunct/>
        <w:topLinePunct w:val="0"/>
        <w:autoSpaceDE/>
        <w:autoSpaceDN/>
        <w:bidi w:val="0"/>
        <w:adjustRightInd/>
        <w:snapToGrid/>
        <w:spacing w:before="100" w:beforeLines="0" w:after="100" w:afterLines="0"/>
        <w:ind w:firstLine="482" w:firstLineChars="200"/>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八、年末结转和结余</w:t>
      </w:r>
      <w:r>
        <w:rPr>
          <w:rFonts w:hint="eastAsia" w:ascii="宋体" w:hAnsi="宋体" w:eastAsia="宋体" w:cs="宋体"/>
          <w:color w:val="auto"/>
          <w:sz w:val="24"/>
          <w:szCs w:val="24"/>
          <w:lang w:val="zh-CN"/>
        </w:rPr>
        <w:t>：指单位按有关规定结转到下年的基本支出结转、项目支出结转和结余、经营结余。</w:t>
      </w:r>
    </w:p>
    <w:p>
      <w:pPr>
        <w:pageBreakBefore w:val="0"/>
        <w:widowControl/>
        <w:kinsoku/>
        <w:wordWrap/>
        <w:overflowPunct/>
        <w:topLinePunct w:val="0"/>
        <w:autoSpaceDE/>
        <w:autoSpaceDN/>
        <w:bidi w:val="0"/>
        <w:adjustRightInd/>
        <w:snapToGrid/>
        <w:spacing w:before="100" w:beforeLines="0" w:after="100" w:afterLines="0"/>
        <w:ind w:firstLine="482" w:firstLineChars="200"/>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九、基本支出</w:t>
      </w:r>
      <w:r>
        <w:rPr>
          <w:rFonts w:hint="eastAsia" w:ascii="宋体" w:hAnsi="宋体" w:eastAsia="宋体" w:cs="宋体"/>
          <w:color w:val="auto"/>
          <w:sz w:val="24"/>
          <w:szCs w:val="24"/>
          <w:lang w:val="zh-CN"/>
        </w:rPr>
        <w:t>：指为保障机构正常运转、完成日常工作任务而发生的人员经费和公用经费。</w:t>
      </w:r>
    </w:p>
    <w:p>
      <w:pPr>
        <w:pageBreakBefore w:val="0"/>
        <w:widowControl/>
        <w:kinsoku/>
        <w:wordWrap/>
        <w:overflowPunct/>
        <w:topLinePunct w:val="0"/>
        <w:autoSpaceDE/>
        <w:autoSpaceDN/>
        <w:bidi w:val="0"/>
        <w:adjustRightInd/>
        <w:snapToGrid/>
        <w:spacing w:before="100" w:beforeLines="0" w:after="100" w:afterLines="0"/>
        <w:ind w:firstLine="482" w:firstLineChars="200"/>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十、项目支出</w:t>
      </w:r>
      <w:r>
        <w:rPr>
          <w:rFonts w:hint="eastAsia" w:ascii="宋体" w:hAnsi="宋体" w:eastAsia="宋体" w:cs="宋体"/>
          <w:color w:val="auto"/>
          <w:sz w:val="24"/>
          <w:szCs w:val="24"/>
          <w:lang w:val="zh-CN"/>
        </w:rPr>
        <w:t>：指在基本支出之外为完成特定行政任务或事业发展目标所发生的支出。</w:t>
      </w:r>
    </w:p>
    <w:p>
      <w:pPr>
        <w:pageBreakBefore w:val="0"/>
        <w:widowControl/>
        <w:kinsoku/>
        <w:wordWrap/>
        <w:overflowPunct/>
        <w:topLinePunct w:val="0"/>
        <w:autoSpaceDE/>
        <w:autoSpaceDN/>
        <w:bidi w:val="0"/>
        <w:adjustRightInd/>
        <w:snapToGrid/>
        <w:spacing w:before="100" w:beforeLines="0" w:after="100" w:afterLines="0"/>
        <w:ind w:firstLine="482" w:firstLineChars="200"/>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十一、经营支出</w:t>
      </w:r>
      <w:r>
        <w:rPr>
          <w:rFonts w:hint="eastAsia" w:ascii="宋体" w:hAnsi="宋体" w:eastAsia="宋体" w:cs="宋体"/>
          <w:color w:val="auto"/>
          <w:sz w:val="24"/>
          <w:szCs w:val="24"/>
          <w:lang w:val="zh-CN"/>
        </w:rPr>
        <w:t>：指事业单位在专业业务活动及其辅助活动之外开展非独立核算经营活动发生的支出。</w:t>
      </w:r>
    </w:p>
    <w:p>
      <w:pPr>
        <w:pageBreakBefore w:val="0"/>
        <w:widowControl/>
        <w:kinsoku/>
        <w:wordWrap/>
        <w:overflowPunct/>
        <w:topLinePunct w:val="0"/>
        <w:autoSpaceDE/>
        <w:autoSpaceDN/>
        <w:bidi w:val="0"/>
        <w:adjustRightInd/>
        <w:snapToGrid/>
        <w:spacing w:before="100" w:beforeLines="0" w:after="100" w:afterLines="0"/>
        <w:ind w:firstLine="482" w:firstLineChars="200"/>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十二、“三公”经费</w:t>
      </w:r>
      <w:r>
        <w:rPr>
          <w:rFonts w:hint="eastAsia" w:ascii="宋体" w:hAnsi="宋体" w:eastAsia="宋体" w:cs="宋体"/>
          <w:color w:val="auto"/>
          <w:sz w:val="24"/>
          <w:szCs w:val="24"/>
          <w:lang w:val="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pageBreakBefore w:val="0"/>
        <w:widowControl/>
        <w:kinsoku/>
        <w:wordWrap/>
        <w:overflowPunct/>
        <w:topLinePunct w:val="0"/>
        <w:autoSpaceDE/>
        <w:autoSpaceDN/>
        <w:bidi w:val="0"/>
        <w:adjustRightInd/>
        <w:snapToGrid/>
        <w:spacing w:before="100" w:beforeLines="0" w:after="100" w:afterLines="0"/>
        <w:ind w:firstLine="482" w:firstLineChars="200"/>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十三、机关运行经费</w:t>
      </w:r>
      <w:r>
        <w:rPr>
          <w:rFonts w:hint="eastAsia" w:ascii="宋体" w:hAnsi="宋体" w:eastAsia="宋体" w:cs="宋体"/>
          <w:color w:val="auto"/>
          <w:sz w:val="24"/>
          <w:szCs w:val="24"/>
          <w:lang w:val="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pPr>
        <w:pageBreakBefore w:val="0"/>
        <w:widowControl/>
        <w:kinsoku/>
        <w:wordWrap/>
        <w:overflowPunct/>
        <w:topLinePunct w:val="0"/>
        <w:autoSpaceDE/>
        <w:autoSpaceDN/>
        <w:bidi w:val="0"/>
        <w:adjustRightInd/>
        <w:snapToGrid/>
        <w:spacing w:before="100" w:beforeLines="0" w:after="100" w:afterLines="0"/>
        <w:ind w:firstLine="482" w:firstLineChars="200"/>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十四、社会保障和就业支出（类）行政事业单位养老支出（款）机关事业单位基本养老保险缴费支出（项）：</w:t>
      </w:r>
      <w:r>
        <w:rPr>
          <w:rFonts w:hint="eastAsia" w:ascii="宋体" w:hAnsi="宋体" w:eastAsia="宋体" w:cs="宋体"/>
          <w:color w:val="auto"/>
          <w:sz w:val="24"/>
          <w:szCs w:val="24"/>
          <w:lang w:val="zh-CN"/>
        </w:rPr>
        <w:t>反映机关事业单位实施养老保险制度由单位缴纳的基本养老保险支出。</w:t>
      </w:r>
    </w:p>
    <w:p>
      <w:pPr>
        <w:pageBreakBefore w:val="0"/>
        <w:widowControl/>
        <w:kinsoku/>
        <w:wordWrap/>
        <w:overflowPunct/>
        <w:topLinePunct w:val="0"/>
        <w:autoSpaceDE/>
        <w:autoSpaceDN/>
        <w:bidi w:val="0"/>
        <w:adjustRightInd/>
        <w:snapToGrid/>
        <w:spacing w:before="100" w:beforeLines="0" w:after="100" w:afterLines="0"/>
        <w:ind w:firstLine="640" w:firstLineChars="200"/>
        <w:jc w:val="both"/>
        <w:textAlignment w:val="auto"/>
        <w:rPr>
          <w:rFonts w:hint="eastAsia" w:ascii="仿宋_GB2312" w:hAnsi="仿宋_GB2312" w:eastAsia="仿宋_GB2312" w:cs="仿宋_GB2312"/>
          <w:color w:val="auto"/>
          <w:sz w:val="32"/>
          <w:szCs w:val="32"/>
          <w:lang w:val="zh-CN"/>
        </w:rPr>
      </w:pPr>
    </w:p>
    <w:bookmarkEnd w:id="0"/>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092B84"/>
    <w:multiLevelType w:val="singleLevel"/>
    <w:tmpl w:val="CF092B84"/>
    <w:lvl w:ilvl="0" w:tentative="0">
      <w:start w:val="2"/>
      <w:numFmt w:val="chineseCounting"/>
      <w:lvlText w:val="(%1)"/>
      <w:lvlJc w:val="left"/>
      <w:pPr>
        <w:tabs>
          <w:tab w:val="left" w:pos="312"/>
        </w:tabs>
      </w:pPr>
      <w:rPr>
        <w:rFonts w:hint="eastAsia"/>
      </w:rPr>
    </w:lvl>
  </w:abstractNum>
  <w:abstractNum w:abstractNumId="1">
    <w:nsid w:val="F708769C"/>
    <w:multiLevelType w:val="singleLevel"/>
    <w:tmpl w:val="F708769C"/>
    <w:lvl w:ilvl="0" w:tentative="0">
      <w:start w:val="1"/>
      <w:numFmt w:val="decimal"/>
      <w:lvlText w:val="%1."/>
      <w:lvlJc w:val="left"/>
      <w:pPr>
        <w:tabs>
          <w:tab w:val="left" w:pos="312"/>
        </w:tabs>
      </w:pPr>
    </w:lvl>
  </w:abstractNum>
  <w:abstractNum w:abstractNumId="2">
    <w:nsid w:val="0053208E"/>
    <w:multiLevelType w:val="singleLevel"/>
    <w:tmpl w:val="0053208E"/>
    <w:lvl w:ilvl="0" w:tentative="0">
      <w:start w:val="2"/>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5NDU0MWMzNzRiYjM5ZWM5YjNlMjQ0YTc5NmYyYWIifQ=="/>
  </w:docVars>
  <w:rsids>
    <w:rsidRoot w:val="00000000"/>
    <w:rsid w:val="009E3D7F"/>
    <w:rsid w:val="019D1A69"/>
    <w:rsid w:val="02FA1365"/>
    <w:rsid w:val="06190152"/>
    <w:rsid w:val="09461160"/>
    <w:rsid w:val="0CE61B3F"/>
    <w:rsid w:val="0EAA3DEF"/>
    <w:rsid w:val="0F3516BB"/>
    <w:rsid w:val="10B634A6"/>
    <w:rsid w:val="148D114B"/>
    <w:rsid w:val="191E2FC7"/>
    <w:rsid w:val="199C2E61"/>
    <w:rsid w:val="1E43679D"/>
    <w:rsid w:val="21DC43A9"/>
    <w:rsid w:val="23D545F4"/>
    <w:rsid w:val="27515ABA"/>
    <w:rsid w:val="29710BC6"/>
    <w:rsid w:val="2C4464D2"/>
    <w:rsid w:val="2C451CE7"/>
    <w:rsid w:val="2E3F3E75"/>
    <w:rsid w:val="34120961"/>
    <w:rsid w:val="35F05E76"/>
    <w:rsid w:val="362F04AB"/>
    <w:rsid w:val="368F5E01"/>
    <w:rsid w:val="39574CFE"/>
    <w:rsid w:val="3B692ECC"/>
    <w:rsid w:val="3EF863B9"/>
    <w:rsid w:val="411D30FF"/>
    <w:rsid w:val="451C1011"/>
    <w:rsid w:val="456C3920"/>
    <w:rsid w:val="46440872"/>
    <w:rsid w:val="4BAB34BA"/>
    <w:rsid w:val="4C144B5F"/>
    <w:rsid w:val="52107A04"/>
    <w:rsid w:val="5306112F"/>
    <w:rsid w:val="53F3274C"/>
    <w:rsid w:val="545C7EFE"/>
    <w:rsid w:val="57373552"/>
    <w:rsid w:val="58245D16"/>
    <w:rsid w:val="58780650"/>
    <w:rsid w:val="5B504E98"/>
    <w:rsid w:val="5F106EA6"/>
    <w:rsid w:val="60FA6164"/>
    <w:rsid w:val="653A113F"/>
    <w:rsid w:val="665147CF"/>
    <w:rsid w:val="67EA22C1"/>
    <w:rsid w:val="6D153126"/>
    <w:rsid w:val="6F271721"/>
    <w:rsid w:val="6F5F68DE"/>
    <w:rsid w:val="6F87670A"/>
    <w:rsid w:val="71255D5E"/>
    <w:rsid w:val="758C0546"/>
    <w:rsid w:val="75A84F97"/>
    <w:rsid w:val="75E90A48"/>
    <w:rsid w:val="765125A1"/>
    <w:rsid w:val="7AC8050C"/>
    <w:rsid w:val="7C457834"/>
    <w:rsid w:val="7E7C269F"/>
    <w:rsid w:val="7F6D0FE4"/>
    <w:rsid w:val="7FBD384C"/>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rPr>
  </w:style>
  <w:style w:type="character" w:default="1" w:styleId="4">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table" w:styleId="3">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0.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ops>
</s:customData>
</file>

<file path=customXml/item1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3.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4.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5.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6.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7.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8.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9.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d6cf0329-ffce-45da-b8c7-8e444f5e9e30}">
  <ds:schemaRefs/>
</ds:datastoreItem>
</file>

<file path=customXml/itemProps2.xml><?xml version="1.0" encoding="utf-8"?>
<ds:datastoreItem xmlns:ds="http://schemas.openxmlformats.org/officeDocument/2006/customXml" ds:itemID="{c24e6094-ffde-446c-b763-f0e17fc7e5fa}">
  <ds:schemaRefs/>
</ds:datastoreItem>
</file>

<file path=customXml/itemProps3.xml><?xml version="1.0" encoding="utf-8"?>
<ds:datastoreItem xmlns:ds="http://schemas.openxmlformats.org/officeDocument/2006/customXml" ds:itemID="{86fdb654-eab7-4c6d-92cb-2f6c1ed791b7}">
  <ds:schemaRefs/>
</ds:datastoreItem>
</file>

<file path=customXml/itemProps4.xml><?xml version="1.0" encoding="utf-8"?>
<ds:datastoreItem xmlns:ds="http://schemas.openxmlformats.org/officeDocument/2006/customXml" ds:itemID="{bc9b7aa7-f767-48b2-a46b-dd13cce87038}">
  <ds:schemaRefs/>
</ds:datastoreItem>
</file>

<file path=customXml/itemProps5.xml><?xml version="1.0" encoding="utf-8"?>
<ds:datastoreItem xmlns:ds="http://schemas.openxmlformats.org/officeDocument/2006/customXml" ds:itemID="{e4c9488b-3e85-4b87-8c98-2dcbbb736469}">
  <ds:schemaRefs/>
</ds:datastoreItem>
</file>

<file path=customXml/itemProps6.xml><?xml version="1.0" encoding="utf-8"?>
<ds:datastoreItem xmlns:ds="http://schemas.openxmlformats.org/officeDocument/2006/customXml" ds:itemID="{61d5e9b2-fcdc-47e7-8cd9-e1ebb46d2e04}">
  <ds:schemaRefs/>
</ds:datastoreItem>
</file>

<file path=customXml/itemProps7.xml><?xml version="1.0" encoding="utf-8"?>
<ds:datastoreItem xmlns:ds="http://schemas.openxmlformats.org/officeDocument/2006/customXml" ds:itemID="{f9618ae7-85c5-45c1-878f-025cdb7b5288}">
  <ds:schemaRefs/>
</ds:datastoreItem>
</file>

<file path=customXml/itemProps8.xml><?xml version="1.0" encoding="utf-8"?>
<ds:datastoreItem xmlns:ds="http://schemas.openxmlformats.org/officeDocument/2006/customXml" ds:itemID="{37ea1345-5d80-4349-8c71-beae5687b52e}">
  <ds:schemaRefs/>
</ds:datastoreItem>
</file>

<file path=customXml/itemProps9.xml><?xml version="1.0" encoding="utf-8"?>
<ds:datastoreItem xmlns:ds="http://schemas.openxmlformats.org/officeDocument/2006/customXml" ds:itemID="{2f56bf0c-4c69-4e3a-9968-312c66556142}">
  <ds:schemaRefs/>
</ds:datastoreItem>
</file>

<file path=docProps/app.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11</TotalTime>
  <ScaleCrop>false</ScaleCrop>
  <LinksUpToDate>false</LinksUpToDate>
  <CharactersWithSpaces>19293</CharactersWithSpaces>
  <Application>WPS Office_11.1.0.8597_F1E327BC-269C-435d-A152-05C5408002CA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Administrator</cp:lastModifiedBy>
  <cp:lastPrinted>2024-09-12T10:03:00Z</cp:lastPrinted>
  <dcterms:modified xsi:type="dcterms:W3CDTF">2024-09-14T04:04:09Z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y fmtid="{D5CDD505-2E9C-101B-9397-08002B2CF9AE}" pid="3" name="ICV">
    <vt:lpwstr>E06D266F13EA4024808CEEADBAD91186_11</vt:lpwstr>
  </property>
</Properties>
</file>