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2EDCF6">
      <w:pPr>
        <w:spacing w:before="100" w:beforeLines="0" w:after="100" w:afterLines="0"/>
        <w:jc w:val="center"/>
        <w:rPr>
          <w:rFonts w:hint="eastAsia" w:ascii="宋体" w:hAnsi="宋体"/>
          <w:sz w:val="24"/>
          <w:szCs w:val="24"/>
          <w:lang w:val="zh-CN"/>
        </w:rPr>
      </w:pPr>
    </w:p>
    <w:p w14:paraId="29E6B873">
      <w:pPr>
        <w:spacing w:before="100" w:beforeLines="0" w:after="100" w:afterLines="0"/>
        <w:jc w:val="center"/>
        <w:rPr>
          <w:rFonts w:hint="eastAsia" w:ascii="宋体" w:hAnsi="宋体"/>
          <w:sz w:val="24"/>
          <w:szCs w:val="24"/>
          <w:lang w:val="zh-CN"/>
        </w:rPr>
      </w:pPr>
    </w:p>
    <w:p w14:paraId="4912431D">
      <w:pPr>
        <w:spacing w:before="100" w:beforeLines="0" w:after="100" w:afterLines="0"/>
        <w:jc w:val="center"/>
        <w:rPr>
          <w:rFonts w:hint="eastAsia" w:ascii="宋体" w:hAnsi="宋体"/>
          <w:sz w:val="24"/>
          <w:szCs w:val="24"/>
          <w:lang w:val="zh-CN"/>
        </w:rPr>
      </w:pPr>
    </w:p>
    <w:p w14:paraId="7BEE1F1B">
      <w:pPr>
        <w:spacing w:before="100" w:beforeLines="0" w:after="100" w:afterLines="0"/>
        <w:jc w:val="center"/>
        <w:rPr>
          <w:rFonts w:hint="eastAsia" w:ascii="宋体" w:hAnsi="宋体"/>
          <w:sz w:val="24"/>
          <w:szCs w:val="24"/>
          <w:lang w:val="zh-CN"/>
        </w:rPr>
      </w:pPr>
    </w:p>
    <w:p w14:paraId="39376B68">
      <w:pPr>
        <w:spacing w:before="100" w:beforeLines="0" w:after="100" w:afterLines="0"/>
        <w:jc w:val="center"/>
        <w:rPr>
          <w:rFonts w:hint="eastAsia" w:ascii="宋体" w:hAnsi="宋体"/>
          <w:sz w:val="24"/>
          <w:szCs w:val="24"/>
          <w:lang w:val="zh-CN"/>
        </w:rPr>
      </w:pPr>
    </w:p>
    <w:p w14:paraId="51199D0C">
      <w:pPr>
        <w:spacing w:before="100" w:beforeLines="0" w:after="100" w:afterLines="0"/>
        <w:jc w:val="center"/>
        <w:rPr>
          <w:rFonts w:hint="eastAsia" w:ascii="宋体" w:hAnsi="宋体"/>
          <w:sz w:val="24"/>
          <w:szCs w:val="24"/>
          <w:lang w:val="zh-CN"/>
        </w:rPr>
      </w:pPr>
    </w:p>
    <w:p w14:paraId="2C3D2CDB">
      <w:pPr>
        <w:spacing w:before="100" w:beforeLines="0" w:after="100" w:afterLines="0"/>
        <w:jc w:val="center"/>
        <w:rPr>
          <w:rFonts w:hint="eastAsia" w:ascii="宋体" w:hAnsi="宋体"/>
          <w:sz w:val="24"/>
          <w:szCs w:val="24"/>
          <w:lang w:val="zh-CN"/>
        </w:rPr>
      </w:pPr>
    </w:p>
    <w:p w14:paraId="014CD8B8">
      <w:pPr>
        <w:spacing w:before="100" w:beforeLines="0" w:after="100" w:afterLines="0"/>
        <w:jc w:val="center"/>
        <w:rPr>
          <w:rFonts w:hint="eastAsia" w:ascii="宋体" w:hAnsi="宋体"/>
          <w:sz w:val="24"/>
          <w:szCs w:val="24"/>
          <w:lang w:val="zh-CN"/>
        </w:rPr>
      </w:pPr>
    </w:p>
    <w:p w14:paraId="7FF06D4B">
      <w:pPr>
        <w:spacing w:before="100" w:beforeLines="0" w:after="100" w:afterLines="0"/>
        <w:jc w:val="center"/>
        <w:rPr>
          <w:rFonts w:hint="eastAsia" w:ascii="宋体" w:hAnsi="宋体"/>
          <w:sz w:val="24"/>
          <w:szCs w:val="24"/>
          <w:lang w:val="zh-CN"/>
        </w:rPr>
      </w:pPr>
    </w:p>
    <w:p w14:paraId="6A4C7C2E">
      <w:pPr>
        <w:spacing w:before="100" w:beforeLines="0" w:after="100" w:afterLines="0"/>
        <w:jc w:val="center"/>
        <w:rPr>
          <w:rFonts w:hint="eastAsia" w:ascii="宋体" w:hAnsi="宋体"/>
          <w:sz w:val="24"/>
          <w:szCs w:val="24"/>
          <w:lang w:val="zh-CN"/>
        </w:rPr>
      </w:pPr>
    </w:p>
    <w:p w14:paraId="6293F4AF">
      <w:pPr>
        <w:spacing w:before="100" w:beforeLines="0" w:after="100" w:afterLines="0"/>
        <w:jc w:val="center"/>
        <w:rPr>
          <w:rFonts w:hint="eastAsia" w:ascii="宋体" w:hAnsi="宋体"/>
          <w:sz w:val="24"/>
          <w:szCs w:val="24"/>
          <w:lang w:val="zh-CN"/>
        </w:rPr>
      </w:pPr>
    </w:p>
    <w:p w14:paraId="6E033525">
      <w:pPr>
        <w:spacing w:before="100" w:beforeLines="0" w:after="100" w:afterLines="0"/>
        <w:jc w:val="center"/>
        <w:rPr>
          <w:rFonts w:hint="eastAsia" w:ascii="宋体" w:hAnsi="宋体"/>
          <w:sz w:val="24"/>
          <w:szCs w:val="24"/>
          <w:lang w:val="zh-CN"/>
        </w:rPr>
      </w:pPr>
    </w:p>
    <w:p w14:paraId="222372B7">
      <w:pPr>
        <w:spacing w:before="100" w:beforeLines="0" w:after="100" w:afterLines="0"/>
        <w:jc w:val="center"/>
        <w:rPr>
          <w:rFonts w:hint="eastAsia" w:ascii="宋体" w:hAnsi="宋体"/>
          <w:sz w:val="24"/>
          <w:szCs w:val="24"/>
          <w:lang w:val="zh-CN"/>
        </w:rPr>
      </w:pPr>
      <w:r>
        <w:rPr>
          <w:rFonts w:hint="eastAsia" w:ascii="宋体" w:hAnsi="宋体"/>
          <w:sz w:val="24"/>
          <w:szCs w:val="24"/>
          <w:lang w:val="zh-CN"/>
        </w:rPr>
        <w:t>2023年度</w:t>
      </w:r>
    </w:p>
    <w:p w14:paraId="30802255">
      <w:pPr>
        <w:spacing w:before="100" w:beforeLines="0" w:after="100" w:afterLines="0"/>
        <w:jc w:val="center"/>
        <w:rPr>
          <w:rFonts w:hint="eastAsia" w:ascii="宋体" w:hAnsi="宋体"/>
          <w:sz w:val="24"/>
          <w:szCs w:val="24"/>
          <w:lang w:val="zh-CN"/>
        </w:rPr>
      </w:pPr>
      <w:r>
        <w:rPr>
          <w:rFonts w:hint="eastAsia" w:ascii="宋体" w:hAnsi="宋体"/>
          <w:sz w:val="24"/>
          <w:szCs w:val="24"/>
          <w:lang w:val="zh-CN"/>
        </w:rPr>
        <w:t>华池县第二幼儿园部门决算</w:t>
      </w:r>
    </w:p>
    <w:p w14:paraId="094C05FE">
      <w:pPr>
        <w:spacing w:before="100" w:beforeLines="0" w:after="100" w:afterLines="0"/>
        <w:jc w:val="center"/>
        <w:rPr>
          <w:rFonts w:hint="eastAsia" w:ascii="宋体" w:hAnsi="宋体"/>
          <w:sz w:val="24"/>
          <w:szCs w:val="24"/>
          <w:lang w:val="zh-CN"/>
        </w:rPr>
      </w:pPr>
    </w:p>
    <w:p w14:paraId="6A5E18ED">
      <w:pPr>
        <w:spacing w:before="100" w:beforeLines="0" w:after="100" w:afterLines="0"/>
        <w:jc w:val="center"/>
        <w:rPr>
          <w:rFonts w:hint="eastAsia" w:ascii="宋体" w:hAnsi="宋体"/>
          <w:sz w:val="24"/>
          <w:szCs w:val="24"/>
          <w:lang w:val="zh-CN"/>
        </w:rPr>
      </w:pPr>
    </w:p>
    <w:p w14:paraId="2C6E5D44">
      <w:pPr>
        <w:spacing w:before="100" w:beforeLines="0" w:after="100" w:afterLines="0"/>
        <w:jc w:val="center"/>
        <w:rPr>
          <w:rFonts w:hint="eastAsia" w:ascii="宋体" w:hAnsi="宋体"/>
          <w:sz w:val="24"/>
          <w:szCs w:val="24"/>
          <w:lang w:val="zh-CN"/>
        </w:rPr>
      </w:pPr>
    </w:p>
    <w:p w14:paraId="03158E80">
      <w:pPr>
        <w:spacing w:before="100" w:beforeLines="0" w:after="100" w:afterLines="0"/>
        <w:jc w:val="center"/>
        <w:rPr>
          <w:rFonts w:hint="eastAsia" w:ascii="宋体" w:hAnsi="宋体"/>
          <w:sz w:val="24"/>
          <w:szCs w:val="24"/>
          <w:lang w:val="zh-CN"/>
        </w:rPr>
      </w:pPr>
    </w:p>
    <w:p w14:paraId="7276C0D5">
      <w:pPr>
        <w:spacing w:before="100" w:beforeLines="0" w:after="100" w:afterLines="0"/>
        <w:jc w:val="center"/>
        <w:rPr>
          <w:rFonts w:hint="eastAsia" w:ascii="宋体" w:hAnsi="宋体"/>
          <w:sz w:val="24"/>
          <w:szCs w:val="24"/>
          <w:lang w:val="zh-CN"/>
        </w:rPr>
      </w:pPr>
    </w:p>
    <w:p w14:paraId="66364A79">
      <w:pPr>
        <w:spacing w:before="100" w:beforeLines="0" w:after="100" w:afterLines="0"/>
        <w:jc w:val="center"/>
        <w:rPr>
          <w:rFonts w:hint="eastAsia" w:ascii="宋体" w:hAnsi="宋体"/>
          <w:sz w:val="24"/>
          <w:szCs w:val="24"/>
          <w:lang w:val="zh-CN"/>
        </w:rPr>
      </w:pPr>
    </w:p>
    <w:p w14:paraId="772454D1">
      <w:pPr>
        <w:spacing w:before="100" w:beforeLines="0" w:after="100" w:afterLines="0"/>
        <w:jc w:val="center"/>
        <w:rPr>
          <w:rFonts w:hint="eastAsia" w:ascii="宋体" w:hAnsi="宋体"/>
          <w:sz w:val="24"/>
          <w:szCs w:val="24"/>
          <w:lang w:val="zh-CN"/>
        </w:rPr>
      </w:pPr>
    </w:p>
    <w:p w14:paraId="5655E2D6">
      <w:pPr>
        <w:spacing w:before="100" w:beforeLines="0" w:after="100" w:afterLines="0"/>
        <w:jc w:val="center"/>
        <w:rPr>
          <w:rFonts w:hint="eastAsia" w:ascii="宋体" w:hAnsi="宋体"/>
          <w:sz w:val="24"/>
          <w:szCs w:val="24"/>
          <w:lang w:val="zh-CN"/>
        </w:rPr>
      </w:pPr>
    </w:p>
    <w:p w14:paraId="5A261A40">
      <w:pPr>
        <w:spacing w:before="100" w:beforeLines="0" w:after="100" w:afterLines="0"/>
        <w:jc w:val="center"/>
        <w:rPr>
          <w:rFonts w:hint="eastAsia" w:ascii="宋体" w:hAnsi="宋体"/>
          <w:sz w:val="24"/>
          <w:szCs w:val="24"/>
          <w:lang w:val="zh-CN"/>
        </w:rPr>
      </w:pPr>
    </w:p>
    <w:p w14:paraId="19B5A443">
      <w:pPr>
        <w:spacing w:before="100" w:beforeLines="0" w:after="100" w:afterLines="0"/>
        <w:jc w:val="center"/>
        <w:rPr>
          <w:rFonts w:hint="eastAsia" w:ascii="宋体" w:hAnsi="宋体"/>
          <w:sz w:val="24"/>
          <w:szCs w:val="24"/>
          <w:lang w:val="zh-CN"/>
        </w:rPr>
      </w:pPr>
    </w:p>
    <w:p w14:paraId="4124B65A">
      <w:pPr>
        <w:spacing w:before="100" w:beforeLines="0" w:after="100" w:afterLines="0"/>
        <w:jc w:val="center"/>
        <w:rPr>
          <w:rFonts w:hint="eastAsia" w:ascii="宋体" w:hAnsi="宋体"/>
          <w:sz w:val="24"/>
          <w:szCs w:val="24"/>
          <w:lang w:val="zh-CN"/>
        </w:rPr>
      </w:pPr>
    </w:p>
    <w:p w14:paraId="45EE36EB">
      <w:pPr>
        <w:spacing w:before="100" w:beforeLines="0" w:after="100" w:afterLines="0"/>
        <w:jc w:val="center"/>
        <w:rPr>
          <w:rFonts w:hint="eastAsia" w:ascii="宋体" w:hAnsi="宋体"/>
          <w:sz w:val="24"/>
          <w:szCs w:val="24"/>
          <w:lang w:val="zh-CN"/>
        </w:rPr>
      </w:pPr>
    </w:p>
    <w:p w14:paraId="67A0F1CD">
      <w:pPr>
        <w:spacing w:before="100" w:beforeLines="0" w:after="100" w:afterLines="0"/>
        <w:jc w:val="center"/>
        <w:rPr>
          <w:rFonts w:hint="eastAsia" w:ascii="宋体" w:hAnsi="宋体"/>
          <w:sz w:val="24"/>
          <w:szCs w:val="24"/>
          <w:lang w:val="zh-CN"/>
        </w:rPr>
      </w:pPr>
    </w:p>
    <w:p w14:paraId="2065DA91">
      <w:pPr>
        <w:spacing w:before="100" w:beforeLines="0" w:after="100" w:afterLines="0"/>
        <w:jc w:val="center"/>
        <w:rPr>
          <w:rFonts w:hint="eastAsia" w:ascii="宋体" w:hAnsi="宋体"/>
          <w:sz w:val="24"/>
          <w:szCs w:val="24"/>
          <w:lang w:val="zh-CN"/>
        </w:rPr>
      </w:pPr>
    </w:p>
    <w:p w14:paraId="2EC5020B">
      <w:pPr>
        <w:spacing w:before="100" w:beforeLines="0" w:after="100" w:afterLines="0"/>
        <w:jc w:val="center"/>
        <w:rPr>
          <w:rFonts w:hint="eastAsia" w:ascii="宋体" w:hAnsi="宋体"/>
          <w:sz w:val="24"/>
          <w:szCs w:val="24"/>
          <w:lang w:val="zh-CN"/>
        </w:rPr>
      </w:pPr>
    </w:p>
    <w:p w14:paraId="70F572C1">
      <w:pPr>
        <w:spacing w:before="100" w:beforeLines="0" w:after="100" w:afterLines="0"/>
        <w:jc w:val="center"/>
        <w:rPr>
          <w:rFonts w:hint="eastAsia" w:ascii="宋体" w:hAnsi="宋体"/>
          <w:sz w:val="24"/>
          <w:szCs w:val="24"/>
          <w:lang w:val="zh-CN"/>
        </w:rPr>
      </w:pPr>
    </w:p>
    <w:p w14:paraId="0FBF3AFF">
      <w:pPr>
        <w:spacing w:before="100" w:beforeLines="0" w:after="100" w:afterLines="0"/>
        <w:jc w:val="center"/>
        <w:rPr>
          <w:rFonts w:hint="eastAsia" w:ascii="宋体" w:hAnsi="宋体"/>
          <w:sz w:val="24"/>
          <w:szCs w:val="24"/>
          <w:lang w:val="zh-CN"/>
        </w:rPr>
      </w:pPr>
    </w:p>
    <w:p w14:paraId="1A54FEC3">
      <w:pPr>
        <w:spacing w:before="100" w:beforeLines="0" w:after="100" w:afterLines="0"/>
        <w:jc w:val="center"/>
        <w:rPr>
          <w:rFonts w:hint="eastAsia" w:ascii="宋体" w:hAnsi="宋体"/>
          <w:sz w:val="24"/>
          <w:szCs w:val="24"/>
          <w:lang w:val="zh-CN"/>
        </w:rPr>
      </w:pPr>
    </w:p>
    <w:p w14:paraId="4A7BC92B">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目录</w:t>
      </w:r>
    </w:p>
    <w:p w14:paraId="5307FA52">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第一部分部门概况</w:t>
      </w:r>
    </w:p>
    <w:p w14:paraId="0CE1FA14">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14:paraId="4073F330">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二、机构设置</w:t>
      </w:r>
    </w:p>
    <w:p w14:paraId="65A9CCBA">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第二部分2023年度部门决算表</w:t>
      </w:r>
    </w:p>
    <w:p w14:paraId="331C20B6">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一、收入支出决算总表</w:t>
      </w:r>
    </w:p>
    <w:p w14:paraId="79473214">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二、收入决算表</w:t>
      </w:r>
    </w:p>
    <w:p w14:paraId="62387993">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三、支出决算表</w:t>
      </w:r>
    </w:p>
    <w:p w14:paraId="4F52491B">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四、财政拨款收入支出决算总表</w:t>
      </w:r>
    </w:p>
    <w:p w14:paraId="55CDE715">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五、一般公共预算财政拨款支出决算表</w:t>
      </w:r>
    </w:p>
    <w:p w14:paraId="310B802C">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六、一般公共预算财政拨款基本支出决算明细表</w:t>
      </w:r>
    </w:p>
    <w:p w14:paraId="6A1A011C">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七、政府性基金预算财政拨款收入支出决算表</w:t>
      </w:r>
    </w:p>
    <w:p w14:paraId="4A1630F8">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八、国有资本经营预算财政拨款支出决算表</w:t>
      </w:r>
    </w:p>
    <w:p w14:paraId="5B4574BA">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经费支出决算表</w:t>
      </w:r>
    </w:p>
    <w:p w14:paraId="5478472E">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第三部分2023年度部门决算情况说明</w:t>
      </w:r>
    </w:p>
    <w:p w14:paraId="2425EDB3">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一、收入支出决算总体情况说明</w:t>
      </w:r>
    </w:p>
    <w:p w14:paraId="0B169216">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二、收入决算情况说明</w:t>
      </w:r>
    </w:p>
    <w:p w14:paraId="4C1A008C">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三、支出决算情况说明</w:t>
      </w:r>
    </w:p>
    <w:p w14:paraId="3243C682">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四、财政拨款收入支出决算总体情况说明</w:t>
      </w:r>
    </w:p>
    <w:p w14:paraId="7F83086E">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五、一般公共预算财政拨款支出决算情况说明</w:t>
      </w:r>
    </w:p>
    <w:p w14:paraId="2AD34122">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六、一般公共预算财政拨款基本支出决算情况说明</w:t>
      </w:r>
    </w:p>
    <w:p w14:paraId="3B3FBB89">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七、政府性基金预算财政拨款收支决算情况说明</w:t>
      </w:r>
    </w:p>
    <w:p w14:paraId="76E9B219">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八、国有资本经营预算财政拨款支出情况说明</w:t>
      </w:r>
    </w:p>
    <w:p w14:paraId="6E9F665B">
      <w:pPr>
        <w:spacing w:before="100" w:beforeLines="0" w:after="100" w:afterLines="0"/>
        <w:jc w:val="left"/>
        <w:rPr>
          <w:rFonts w:hint="eastAsia" w:ascii="宋体" w:hAnsi="宋体"/>
          <w:sz w:val="24"/>
          <w:szCs w:val="24"/>
          <w:lang w:val="en-US" w:eastAsia="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经费支出决算情况说明</w:t>
      </w:r>
    </w:p>
    <w:p w14:paraId="400A9F67">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十、机关运行经费支出情况说明</w:t>
      </w:r>
    </w:p>
    <w:p w14:paraId="4B6F3583">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十一、政府采购支出情况说明</w:t>
      </w:r>
    </w:p>
    <w:p w14:paraId="4CDACA41">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十二、国有资产占用情况说明</w:t>
      </w:r>
    </w:p>
    <w:p w14:paraId="0B659593">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十三、其他需要说明的情况</w:t>
      </w:r>
    </w:p>
    <w:p w14:paraId="713F3400">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第四部分预算绩效情况说明</w:t>
      </w:r>
    </w:p>
    <w:p w14:paraId="3AB10E69">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第五部分名词解释</w:t>
      </w:r>
    </w:p>
    <w:p w14:paraId="2246F66D">
      <w:pPr>
        <w:spacing w:before="100" w:beforeLines="0" w:after="100" w:afterLines="0"/>
        <w:jc w:val="center"/>
        <w:rPr>
          <w:rFonts w:hint="eastAsia" w:ascii="宋体" w:hAnsi="宋体"/>
          <w:sz w:val="24"/>
          <w:szCs w:val="24"/>
          <w:lang w:val="zh-CN"/>
        </w:rPr>
      </w:pPr>
    </w:p>
    <w:p w14:paraId="23DD54EE">
      <w:pPr>
        <w:spacing w:before="100" w:beforeLines="0" w:after="100" w:afterLines="0"/>
        <w:jc w:val="center"/>
        <w:rPr>
          <w:rFonts w:hint="eastAsia" w:ascii="宋体" w:hAnsi="宋体"/>
          <w:sz w:val="24"/>
          <w:szCs w:val="24"/>
          <w:lang w:val="zh-CN"/>
        </w:rPr>
      </w:pPr>
    </w:p>
    <w:p w14:paraId="2919A559">
      <w:pPr>
        <w:spacing w:before="100" w:beforeLines="0" w:after="100" w:afterLines="0"/>
        <w:jc w:val="center"/>
        <w:rPr>
          <w:rFonts w:hint="eastAsia" w:ascii="宋体" w:hAnsi="宋体"/>
          <w:sz w:val="24"/>
          <w:szCs w:val="24"/>
          <w:lang w:val="zh-CN"/>
        </w:rPr>
      </w:pPr>
    </w:p>
    <w:p w14:paraId="2B440E08">
      <w:pPr>
        <w:spacing w:before="100" w:beforeLines="0" w:after="100" w:afterLines="0"/>
        <w:jc w:val="center"/>
        <w:rPr>
          <w:rFonts w:hint="eastAsia" w:ascii="宋体" w:hAnsi="宋体"/>
          <w:sz w:val="24"/>
          <w:szCs w:val="24"/>
          <w:lang w:val="zh-CN"/>
        </w:rPr>
      </w:pPr>
    </w:p>
    <w:p w14:paraId="603EEAF6">
      <w:pPr>
        <w:spacing w:before="100" w:beforeLines="0" w:after="100" w:afterLines="0"/>
        <w:jc w:val="center"/>
        <w:rPr>
          <w:rFonts w:hint="eastAsia" w:ascii="宋体" w:hAnsi="宋体"/>
          <w:sz w:val="24"/>
          <w:szCs w:val="24"/>
          <w:lang w:val="zh-CN"/>
        </w:rPr>
      </w:pPr>
    </w:p>
    <w:p w14:paraId="1815753F">
      <w:pPr>
        <w:spacing w:before="100" w:beforeLines="0" w:after="100" w:afterLines="0"/>
        <w:jc w:val="center"/>
        <w:rPr>
          <w:rFonts w:hint="eastAsia" w:ascii="宋体" w:hAnsi="宋体"/>
          <w:sz w:val="24"/>
          <w:szCs w:val="24"/>
          <w:lang w:val="zh-CN"/>
        </w:rPr>
      </w:pPr>
    </w:p>
    <w:p w14:paraId="6B0C3470">
      <w:pPr>
        <w:spacing w:before="100" w:beforeLines="0" w:after="100" w:afterLines="0"/>
        <w:jc w:val="center"/>
        <w:rPr>
          <w:rFonts w:hint="eastAsia" w:ascii="宋体" w:hAnsi="宋体"/>
          <w:sz w:val="24"/>
          <w:szCs w:val="24"/>
          <w:lang w:val="zh-CN"/>
        </w:rPr>
      </w:pPr>
    </w:p>
    <w:p w14:paraId="696E06DE">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第一部分部门概况</w:t>
      </w:r>
    </w:p>
    <w:p w14:paraId="0C40BB17">
      <w:pPr>
        <w:spacing w:before="100" w:beforeLines="0" w:after="100" w:afterLines="0"/>
        <w:ind w:firstLine="480" w:firstLineChars="200"/>
        <w:jc w:val="left"/>
        <w:rPr>
          <w:rFonts w:hint="eastAsia" w:ascii="宋体" w:hAnsi="宋体"/>
          <w:sz w:val="24"/>
          <w:szCs w:val="24"/>
          <w:lang w:val="zh-CN"/>
        </w:rPr>
      </w:pPr>
      <w:r>
        <w:rPr>
          <w:rFonts w:hint="eastAsia" w:ascii="宋体" w:hAnsi="宋体"/>
          <w:sz w:val="24"/>
          <w:szCs w:val="24"/>
          <w:lang w:val="zh-CN"/>
        </w:rPr>
        <w:t>一、部门职责</w:t>
      </w:r>
    </w:p>
    <w:p w14:paraId="4799EC9E">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华池县第二幼儿园属全额拨款事业单位，隶属于华池县教育局下属二级单位，主要负责本辖区内及周边附近适龄儿童保育保教活动。华池县第二幼儿园是承担华池县县城3-6岁幼儿的保育教育工作等工作的职能部门。主要职责是:根据幼儿身心发展的特点，以全面发展为核心，以保育结合为原则。以特色教育为龙头，以游戏活动为基本手段，积极开展各项活动。力求在健康、社会、语言、科学、艺术五大领域促进幼儿和谐、充分、全面发展。</w:t>
      </w:r>
    </w:p>
    <w:p w14:paraId="121BE172">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二、机构设置</w:t>
      </w:r>
    </w:p>
    <w:p w14:paraId="2128E2DA">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（1）机关内设机构</w:t>
      </w:r>
    </w:p>
    <w:p w14:paraId="2D8E87D2">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 xml:space="preserve">    </w:t>
      </w:r>
      <w:r>
        <w:rPr>
          <w:rFonts w:hint="eastAsia" w:ascii="宋体" w:hAnsi="宋体"/>
          <w:color w:val="auto"/>
          <w:sz w:val="24"/>
          <w:szCs w:val="24"/>
          <w:lang w:val="en-US" w:eastAsia="zh-CN"/>
        </w:rPr>
        <w:t xml:space="preserve"> </w:t>
      </w:r>
      <w:r>
        <w:rPr>
          <w:rFonts w:hint="eastAsia" w:ascii="宋体" w:hAnsi="宋体"/>
          <w:color w:val="auto"/>
          <w:sz w:val="24"/>
          <w:szCs w:val="24"/>
          <w:lang w:val="zh-CN"/>
        </w:rPr>
        <w:t>华池县第二幼儿园内设一个党办室，一个会议室，一个园务室，一个财务室，三个办公室（幼儿园教学大班、中班、小班办公室各一个），八个教学班，一个游戏室，一间舞蹈室。一间多媒体大厅。其中园务室主要承担我园日常教学和其他业务办理工作。</w:t>
      </w:r>
    </w:p>
    <w:p w14:paraId="3C5D9F0E">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（2）人员情况</w:t>
      </w:r>
    </w:p>
    <w:p w14:paraId="1541071D">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w:t>
      </w:r>
      <w:r>
        <w:rPr>
          <w:rFonts w:hint="eastAsia" w:ascii="宋体" w:hAnsi="宋体"/>
          <w:color w:val="auto"/>
          <w:sz w:val="24"/>
          <w:szCs w:val="24"/>
          <w:lang w:val="en-US" w:eastAsia="zh-CN"/>
        </w:rPr>
        <w:t>3</w:t>
      </w:r>
      <w:r>
        <w:rPr>
          <w:rFonts w:hint="eastAsia" w:ascii="宋体" w:hAnsi="宋体"/>
          <w:color w:val="auto"/>
          <w:sz w:val="24"/>
          <w:szCs w:val="24"/>
          <w:lang w:val="zh-CN"/>
        </w:rPr>
        <w:t>年度，我单位共有编制</w:t>
      </w:r>
      <w:r>
        <w:rPr>
          <w:rFonts w:hint="eastAsia" w:ascii="宋体" w:hAnsi="宋体"/>
          <w:color w:val="auto"/>
          <w:sz w:val="24"/>
          <w:szCs w:val="24"/>
          <w:lang w:val="en-US" w:eastAsia="zh-CN"/>
        </w:rPr>
        <w:t>17</w:t>
      </w:r>
      <w:r>
        <w:rPr>
          <w:rFonts w:hint="eastAsia" w:ascii="宋体" w:hAnsi="宋体"/>
          <w:color w:val="auto"/>
          <w:sz w:val="24"/>
          <w:szCs w:val="24"/>
          <w:lang w:val="zh-CN"/>
        </w:rPr>
        <w:t>名，其中：行政编制0名，参公事业编制0名，事业编制</w:t>
      </w:r>
      <w:r>
        <w:rPr>
          <w:rFonts w:hint="eastAsia" w:ascii="宋体" w:hAnsi="宋体"/>
          <w:color w:val="auto"/>
          <w:sz w:val="24"/>
          <w:szCs w:val="24"/>
          <w:lang w:val="en-US" w:eastAsia="zh-CN"/>
        </w:rPr>
        <w:t>17</w:t>
      </w:r>
      <w:r>
        <w:rPr>
          <w:rFonts w:hint="eastAsia" w:ascii="宋体" w:hAnsi="宋体"/>
          <w:color w:val="auto"/>
          <w:sz w:val="24"/>
          <w:szCs w:val="24"/>
          <w:lang w:val="zh-CN"/>
        </w:rPr>
        <w:t>名，后勤编制0名。财政供养总人数</w:t>
      </w:r>
      <w:r>
        <w:rPr>
          <w:rFonts w:hint="eastAsia" w:ascii="宋体" w:hAnsi="宋体"/>
          <w:color w:val="auto"/>
          <w:sz w:val="24"/>
          <w:szCs w:val="24"/>
          <w:lang w:val="en-US" w:eastAsia="zh-CN"/>
        </w:rPr>
        <w:t>27</w:t>
      </w:r>
      <w:r>
        <w:rPr>
          <w:rFonts w:hint="eastAsia" w:ascii="宋体" w:hAnsi="宋体"/>
          <w:color w:val="auto"/>
          <w:sz w:val="24"/>
          <w:szCs w:val="24"/>
          <w:lang w:val="zh-CN"/>
        </w:rPr>
        <w:t>人，其中：在职人员</w:t>
      </w:r>
      <w:r>
        <w:rPr>
          <w:rFonts w:hint="eastAsia" w:ascii="宋体" w:hAnsi="宋体"/>
          <w:color w:val="auto"/>
          <w:sz w:val="24"/>
          <w:szCs w:val="24"/>
          <w:lang w:val="en-US" w:eastAsia="zh-CN"/>
        </w:rPr>
        <w:t>27</w:t>
      </w:r>
      <w:r>
        <w:rPr>
          <w:rFonts w:hint="eastAsia" w:ascii="宋体" w:hAnsi="宋体"/>
          <w:color w:val="auto"/>
          <w:sz w:val="24"/>
          <w:szCs w:val="24"/>
          <w:lang w:val="zh-CN"/>
        </w:rPr>
        <w:t>人，雇佣人员0人，离退休0人，遗属0人。</w:t>
      </w:r>
    </w:p>
    <w:p w14:paraId="5A42FD74">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第二部分2023年度部门决算表</w:t>
      </w:r>
    </w:p>
    <w:p w14:paraId="03C04517">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一、收入支出决算总表（</w:t>
      </w:r>
      <w:r>
        <w:rPr>
          <w:rFonts w:hint="eastAsia" w:ascii="宋体" w:hAnsi="宋体"/>
          <w:color w:val="auto"/>
          <w:sz w:val="24"/>
          <w:szCs w:val="24"/>
          <w:lang w:val="en-US" w:eastAsia="zh-CN"/>
        </w:rPr>
        <w:t>见附件</w:t>
      </w:r>
      <w:r>
        <w:rPr>
          <w:rFonts w:hint="eastAsia" w:ascii="宋体" w:hAnsi="宋体"/>
          <w:color w:val="auto"/>
          <w:sz w:val="24"/>
          <w:szCs w:val="24"/>
          <w:lang w:val="zh-CN"/>
        </w:rPr>
        <w:t>）</w:t>
      </w:r>
    </w:p>
    <w:p w14:paraId="6D3DD960">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二、收入决算表（见附件）</w:t>
      </w:r>
    </w:p>
    <w:p w14:paraId="228B0D74">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三、支出决算表（见附件）</w:t>
      </w:r>
    </w:p>
    <w:p w14:paraId="7EE80941">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四、财政拨款收入支出决算总表（见附件）</w:t>
      </w:r>
    </w:p>
    <w:p w14:paraId="3DA90A3F">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五、一般公共预算财政拨款支出决算表（见附件）</w:t>
      </w:r>
    </w:p>
    <w:p w14:paraId="2A012857">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六、一般公共预算财政拨款基本支出决算明细表（见附件）</w:t>
      </w:r>
    </w:p>
    <w:p w14:paraId="632E0906">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七、政府性基金预算财政拨款收入支出决算表（本部门没有相关数据,故本表无数据。）</w:t>
      </w:r>
    </w:p>
    <w:p w14:paraId="2694BB16">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八、国有资本经营预算财政拨款支出决算表（本部门没有相关数据,故本表无数据。）</w:t>
      </w:r>
    </w:p>
    <w:p w14:paraId="3B983046">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经费支出决算表（本部门没有相关数据,故本表无数据。）</w:t>
      </w:r>
    </w:p>
    <w:p w14:paraId="3F9B593A">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第三部分2023年度部门决算情况说明</w:t>
      </w:r>
    </w:p>
    <w:p w14:paraId="00DF9C8E">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一、收入支出决算总体情况说明</w:t>
      </w:r>
    </w:p>
    <w:p w14:paraId="5051ACE4">
      <w:pPr>
        <w:spacing w:before="100" w:beforeLines="0" w:after="100" w:afterLines="0"/>
        <w:ind w:firstLine="480" w:firstLineChars="200"/>
        <w:jc w:val="left"/>
        <w:rPr>
          <w:rFonts w:hint="eastAsia" w:ascii="宋体" w:hAnsi="宋体"/>
          <w:color w:val="auto"/>
          <w:sz w:val="24"/>
          <w:szCs w:val="24"/>
          <w:lang w:val="en-US" w:eastAsia="zh-CN"/>
        </w:rPr>
      </w:pPr>
      <w:r>
        <w:rPr>
          <w:rFonts w:hint="eastAsia" w:ascii="宋体" w:hAnsi="宋体"/>
          <w:color w:val="auto"/>
          <w:sz w:val="24"/>
          <w:szCs w:val="24"/>
          <w:lang w:val="zh-CN"/>
        </w:rPr>
        <w:t>2023年度收、支总计</w:t>
      </w:r>
      <w:r>
        <w:rPr>
          <w:rFonts w:hint="eastAsia" w:ascii="宋体" w:hAnsi="宋体"/>
          <w:color w:val="auto"/>
          <w:sz w:val="24"/>
          <w:szCs w:val="24"/>
          <w:lang w:val="en-US"/>
        </w:rPr>
        <w:t>均为</w:t>
      </w:r>
      <w:r>
        <w:rPr>
          <w:rFonts w:hint="eastAsia" w:ascii="宋体" w:hAnsi="宋体"/>
          <w:color w:val="auto"/>
          <w:sz w:val="24"/>
          <w:szCs w:val="24"/>
          <w:lang w:val="zh-CN"/>
        </w:rPr>
        <w:t>500.26万元。</w:t>
      </w:r>
      <w:r>
        <w:rPr>
          <w:rFonts w:hint="eastAsia" w:ascii="宋体" w:hAnsi="宋体"/>
          <w:color w:val="auto"/>
          <w:sz w:val="24"/>
          <w:szCs w:val="24"/>
          <w:lang w:val="en-US"/>
        </w:rPr>
        <w:t>与上年度相比,</w:t>
      </w:r>
      <w:r>
        <w:rPr>
          <w:rFonts w:hint="eastAsia" w:ascii="宋体" w:hAnsi="宋体"/>
          <w:color w:val="auto"/>
          <w:sz w:val="24"/>
          <w:szCs w:val="24"/>
          <w:lang w:val="zh-CN"/>
        </w:rPr>
        <w:t>收、支</w:t>
      </w:r>
      <w:r>
        <w:rPr>
          <w:rFonts w:hint="eastAsia" w:ascii="宋体" w:hAnsi="宋体"/>
          <w:color w:val="auto"/>
          <w:sz w:val="24"/>
          <w:szCs w:val="24"/>
          <w:lang w:val="en-US"/>
        </w:rPr>
        <w:t>总计各</w:t>
      </w:r>
      <w:r>
        <w:rPr>
          <w:rFonts w:hint="eastAsia" w:ascii="宋体" w:hAnsi="宋体"/>
          <w:color w:val="auto"/>
          <w:sz w:val="24"/>
          <w:szCs w:val="24"/>
          <w:lang w:val="zh-CN"/>
        </w:rPr>
        <w:t>减少2.48万元,下降0.49%,主要原因是</w:t>
      </w:r>
      <w:r>
        <w:rPr>
          <w:rFonts w:hint="eastAsia" w:ascii="宋体" w:hAnsi="宋体"/>
          <w:color w:val="auto"/>
          <w:sz w:val="24"/>
          <w:szCs w:val="24"/>
          <w:lang w:val="en-US" w:eastAsia="zh-CN"/>
        </w:rPr>
        <w:t>人员减少。</w:t>
      </w:r>
    </w:p>
    <w:p w14:paraId="6431238A">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二、收入决算情况说明</w:t>
      </w:r>
    </w:p>
    <w:p w14:paraId="01CBBCE5">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2023年度收入合计500.26万元,其中：财政拨款收入500.26万元,占100.00%；</w:t>
      </w:r>
      <w:r>
        <w:rPr>
          <w:rFonts w:hint="eastAsia" w:ascii="宋体" w:hAnsi="宋体"/>
          <w:color w:val="auto"/>
          <w:sz w:val="24"/>
          <w:szCs w:val="24"/>
          <w:lang w:val="en-US"/>
        </w:rPr>
        <w:t>上级补助</w:t>
      </w:r>
      <w:r>
        <w:rPr>
          <w:rFonts w:hint="eastAsia" w:ascii="宋体" w:hAnsi="宋体"/>
          <w:color w:val="auto"/>
          <w:sz w:val="24"/>
          <w:szCs w:val="24"/>
          <w:lang w:val="zh-CN"/>
        </w:rPr>
        <w:t>收入0.00万元,占0.00%；</w:t>
      </w:r>
      <w:r>
        <w:rPr>
          <w:rFonts w:hint="eastAsia" w:ascii="宋体" w:hAnsi="宋体"/>
          <w:color w:val="auto"/>
          <w:sz w:val="24"/>
          <w:szCs w:val="24"/>
          <w:lang w:val="en-US"/>
        </w:rPr>
        <w:t>事业</w:t>
      </w:r>
      <w:r>
        <w:rPr>
          <w:rFonts w:hint="eastAsia" w:ascii="宋体" w:hAnsi="宋体"/>
          <w:color w:val="auto"/>
          <w:sz w:val="24"/>
          <w:szCs w:val="24"/>
          <w:lang w:val="zh-CN"/>
        </w:rPr>
        <w:t>收入0.00万元,占0.00%；</w:t>
      </w:r>
      <w:r>
        <w:rPr>
          <w:rFonts w:hint="eastAsia" w:ascii="宋体" w:hAnsi="宋体"/>
          <w:color w:val="auto"/>
          <w:sz w:val="24"/>
          <w:szCs w:val="24"/>
          <w:lang w:val="en-US"/>
        </w:rPr>
        <w:t>经营</w:t>
      </w:r>
      <w:r>
        <w:rPr>
          <w:rFonts w:hint="eastAsia" w:ascii="宋体" w:hAnsi="宋体"/>
          <w:color w:val="auto"/>
          <w:sz w:val="24"/>
          <w:szCs w:val="24"/>
          <w:lang w:val="zh-CN"/>
        </w:rPr>
        <w:t>收入0.00万元,占0.00%；</w:t>
      </w:r>
      <w:r>
        <w:rPr>
          <w:rFonts w:hint="eastAsia" w:ascii="宋体" w:hAnsi="宋体"/>
          <w:color w:val="auto"/>
          <w:sz w:val="24"/>
          <w:szCs w:val="24"/>
          <w:lang w:val="en-US"/>
        </w:rPr>
        <w:t>附属单位上缴</w:t>
      </w:r>
      <w:r>
        <w:rPr>
          <w:rFonts w:hint="eastAsia" w:ascii="宋体" w:hAnsi="宋体"/>
          <w:color w:val="auto"/>
          <w:sz w:val="24"/>
          <w:szCs w:val="24"/>
          <w:lang w:val="zh-CN"/>
        </w:rPr>
        <w:t>收入0.00万元,占0.00%；</w:t>
      </w:r>
      <w:r>
        <w:rPr>
          <w:rFonts w:hint="eastAsia" w:ascii="宋体" w:hAnsi="宋体"/>
          <w:color w:val="auto"/>
          <w:sz w:val="24"/>
          <w:szCs w:val="24"/>
          <w:lang w:val="en-US"/>
        </w:rPr>
        <w:t>其他</w:t>
      </w:r>
      <w:r>
        <w:rPr>
          <w:rFonts w:hint="eastAsia" w:ascii="宋体" w:hAnsi="宋体"/>
          <w:color w:val="auto"/>
          <w:sz w:val="24"/>
          <w:szCs w:val="24"/>
          <w:lang w:val="zh-CN"/>
        </w:rPr>
        <w:t>收入0.00万元,占0.00%；</w:t>
      </w:r>
    </w:p>
    <w:p w14:paraId="11FC4620">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三、支出决算情况说明</w:t>
      </w:r>
    </w:p>
    <w:p w14:paraId="045D5775">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2023年度支出合计500.26万元,其中：基本支出435.30万元,占87.02%；项目支出64.96万元,占12.98%；上缴上级支出0.00万元,占0.00%；经营支出0.00万元,占0.00%；对附属单位补助支出0.00万元,占0.00%。</w:t>
      </w:r>
    </w:p>
    <w:p w14:paraId="365F67A9">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四、财政拨款收入支出决算总体情况说明</w:t>
      </w:r>
    </w:p>
    <w:p w14:paraId="0910045A">
      <w:pPr>
        <w:spacing w:before="100" w:beforeLines="0" w:after="100" w:afterLines="0"/>
        <w:ind w:firstLine="480" w:firstLineChars="200"/>
        <w:jc w:val="left"/>
        <w:rPr>
          <w:rFonts w:hint="default" w:ascii="宋体" w:hAnsi="宋体" w:eastAsia="宋体"/>
          <w:color w:val="auto"/>
          <w:sz w:val="24"/>
          <w:szCs w:val="24"/>
          <w:lang w:val="en-US" w:eastAsia="zh-CN"/>
        </w:rPr>
      </w:pPr>
      <w:r>
        <w:rPr>
          <w:rFonts w:hint="eastAsia" w:ascii="宋体" w:hAnsi="宋体"/>
          <w:color w:val="auto"/>
          <w:sz w:val="24"/>
          <w:szCs w:val="24"/>
          <w:lang w:val="zh-CN"/>
        </w:rPr>
        <w:t>2023年度财政拨款收、支总计</w:t>
      </w:r>
      <w:r>
        <w:rPr>
          <w:rFonts w:hint="eastAsia" w:ascii="宋体" w:hAnsi="宋体"/>
          <w:color w:val="auto"/>
          <w:sz w:val="24"/>
          <w:szCs w:val="24"/>
          <w:lang w:val="en-US"/>
        </w:rPr>
        <w:t>均为</w:t>
      </w:r>
      <w:r>
        <w:rPr>
          <w:rFonts w:hint="eastAsia" w:ascii="宋体" w:hAnsi="宋体"/>
          <w:color w:val="auto"/>
          <w:sz w:val="24"/>
          <w:szCs w:val="24"/>
          <w:lang w:val="zh-CN"/>
        </w:rPr>
        <w:t>500.26万元。与</w:t>
      </w:r>
      <w:r>
        <w:rPr>
          <w:rFonts w:hint="eastAsia" w:ascii="宋体" w:hAnsi="宋体"/>
          <w:color w:val="auto"/>
          <w:sz w:val="24"/>
          <w:szCs w:val="24"/>
          <w:lang w:val="en-US"/>
        </w:rPr>
        <w:t>上</w:t>
      </w:r>
      <w:r>
        <w:rPr>
          <w:rFonts w:hint="eastAsia" w:ascii="宋体" w:hAnsi="宋体"/>
          <w:color w:val="auto"/>
          <w:sz w:val="24"/>
          <w:szCs w:val="24"/>
          <w:lang w:val="zh-CN"/>
        </w:rPr>
        <w:t>年相比,各减少2.48万元,下降0.49%。主要原因是</w:t>
      </w:r>
      <w:r>
        <w:rPr>
          <w:rFonts w:hint="eastAsia" w:ascii="宋体" w:hAnsi="宋体"/>
          <w:color w:val="auto"/>
          <w:sz w:val="24"/>
          <w:szCs w:val="24"/>
          <w:lang w:val="en-US" w:eastAsia="zh-CN"/>
        </w:rPr>
        <w:t>在职人员调出，相应人员工资和各类保险支出减少。</w:t>
      </w:r>
    </w:p>
    <w:p w14:paraId="13CF6E66">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五、一般公共预算财政拨款支出决算情况说明</w:t>
      </w:r>
    </w:p>
    <w:p w14:paraId="499389FE">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（一）一般公共预算财政拨款支出决算总体情况</w:t>
      </w:r>
    </w:p>
    <w:p w14:paraId="5A01EA0C">
      <w:pPr>
        <w:spacing w:before="100" w:beforeLines="0" w:after="100" w:afterLines="0"/>
        <w:ind w:firstLine="480" w:firstLineChars="200"/>
        <w:jc w:val="left"/>
        <w:rPr>
          <w:rFonts w:hint="eastAsia" w:ascii="宋体" w:hAnsi="宋体"/>
          <w:color w:val="FF0000"/>
          <w:sz w:val="24"/>
          <w:szCs w:val="24"/>
          <w:lang w:val="zh-CN"/>
        </w:rPr>
      </w:pPr>
      <w:r>
        <w:rPr>
          <w:rFonts w:hint="eastAsia" w:ascii="宋体" w:hAnsi="宋体"/>
          <w:color w:val="auto"/>
          <w:sz w:val="24"/>
          <w:szCs w:val="24"/>
          <w:lang w:val="zh-CN"/>
        </w:rPr>
        <w:t>2023年度一般公共预算财政拨款支出500.26万元,较上年决算数增加111.12万元,增长28.56%。主要</w:t>
      </w:r>
      <w:r>
        <w:rPr>
          <w:rFonts w:hint="eastAsia" w:ascii="宋体" w:hAnsi="宋体"/>
          <w:color w:val="auto"/>
          <w:sz w:val="24"/>
          <w:szCs w:val="24"/>
          <w:lang w:val="en-US" w:eastAsia="zh-CN"/>
        </w:rPr>
        <w:t>支出上年结余和本年经费</w:t>
      </w:r>
      <w:r>
        <w:rPr>
          <w:rFonts w:hint="eastAsia" w:ascii="宋体" w:hAnsi="宋体"/>
          <w:color w:val="auto"/>
          <w:sz w:val="24"/>
          <w:szCs w:val="24"/>
          <w:lang w:val="zh-CN"/>
        </w:rPr>
        <w:t>。</w:t>
      </w:r>
    </w:p>
    <w:p w14:paraId="2A0AE772">
      <w:pPr>
        <w:numPr>
          <w:ilvl w:val="0"/>
          <w:numId w:val="0"/>
        </w:numPr>
        <w:spacing w:before="100" w:beforeLines="0" w:after="100" w:afterLines="0"/>
        <w:ind w:firstLine="480" w:firstLineChars="20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en-US" w:eastAsia="zh-CN"/>
          <w14:textFill>
            <w14:solidFill>
              <w14:schemeClr w14:val="tx1"/>
            </w14:solidFill>
          </w14:textFill>
        </w:rPr>
        <w:t>二</w:t>
      </w:r>
      <w:r>
        <w:rPr>
          <w:rFonts w:hint="eastAsia" w:ascii="宋体" w:hAnsi="宋体"/>
          <w:color w:val="000000" w:themeColor="text1"/>
          <w:sz w:val="24"/>
          <w:szCs w:val="24"/>
          <w:lang w:val="zh-CN"/>
          <w14:textFill>
            <w14:solidFill>
              <w14:schemeClr w14:val="tx1"/>
            </w14:solidFill>
          </w14:textFill>
        </w:rPr>
        <w:t>）一般公共预算财政拨款支出决算结构情况</w:t>
      </w:r>
    </w:p>
    <w:p w14:paraId="4D8BF76A">
      <w:pPr>
        <w:numPr>
          <w:ilvl w:val="0"/>
          <w:numId w:val="0"/>
        </w:numPr>
        <w:spacing w:before="100" w:beforeLines="0" w:after="100" w:afterLines="0"/>
        <w:ind w:firstLine="480" w:firstLineChars="200"/>
        <w:jc w:val="left"/>
        <w:rPr>
          <w:rFonts w:hint="eastAsia" w:ascii="宋体" w:hAnsi="宋体"/>
          <w:color w:val="FF0000"/>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w:t>
      </w:r>
      <w:r>
        <w:rPr>
          <w:rFonts w:hint="eastAsia" w:ascii="宋体" w:hAnsi="宋体"/>
          <w:color w:val="auto"/>
          <w:sz w:val="24"/>
          <w:szCs w:val="24"/>
          <w:lang w:val="zh-CN"/>
        </w:rPr>
        <w:t>500.26万元，主要用于以下方面：教育支出440.30万元,占88.01%；社会保障和就业支出32.06万元,占6.41%；卫生健康支出27.90万元,占5.58%。</w:t>
      </w:r>
    </w:p>
    <w:p w14:paraId="12EA37C7">
      <w:pPr>
        <w:numPr>
          <w:ilvl w:val="0"/>
          <w:numId w:val="0"/>
        </w:numPr>
        <w:spacing w:before="100" w:beforeLines="0" w:after="100" w:afterLines="0"/>
        <w:ind w:leftChars="0" w:firstLine="480" w:firstLineChars="20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en-US" w:eastAsia="zh-CN"/>
          <w14:textFill>
            <w14:solidFill>
              <w14:schemeClr w14:val="tx1"/>
            </w14:solidFill>
          </w14:textFill>
        </w:rPr>
        <w:t>三</w:t>
      </w:r>
      <w:r>
        <w:rPr>
          <w:rFonts w:hint="eastAsia" w:ascii="宋体" w:hAnsi="宋体"/>
          <w:color w:val="000000" w:themeColor="text1"/>
          <w:sz w:val="24"/>
          <w:szCs w:val="24"/>
          <w:lang w:val="zh-CN"/>
          <w14:textFill>
            <w14:solidFill>
              <w14:schemeClr w14:val="tx1"/>
            </w14:solidFill>
          </w14:textFill>
        </w:rPr>
        <w:t>）一般公共预算财政拨款支出决算具体情况</w:t>
      </w:r>
    </w:p>
    <w:p w14:paraId="35926AFD">
      <w:pPr>
        <w:numPr>
          <w:ilvl w:val="0"/>
          <w:numId w:val="0"/>
        </w:numPr>
        <w:spacing w:before="100" w:beforeLines="0" w:after="100" w:afterLines="0"/>
        <w:ind w:leftChars="0" w:firstLine="720" w:firstLineChars="300"/>
        <w:jc w:val="left"/>
        <w:rPr>
          <w:rFonts w:hint="eastAsia" w:ascii="宋体" w:hAnsi="宋体"/>
          <w:color w:val="auto"/>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2023年度一般公共预算财政拨款支出年初预算为</w:t>
      </w:r>
      <w:r>
        <w:rPr>
          <w:rFonts w:hint="eastAsia" w:ascii="宋体" w:hAnsi="宋体"/>
          <w:color w:val="auto"/>
          <w:sz w:val="24"/>
          <w:szCs w:val="24"/>
          <w:lang w:val="zh-CN"/>
        </w:rPr>
        <w:t>435.67万元,支出决算为500.26万元,完成年初预算的114.83%。其中：</w:t>
      </w:r>
    </w:p>
    <w:p w14:paraId="7B4020C9">
      <w:pPr>
        <w:spacing w:before="100" w:beforeLines="0" w:after="100" w:afterLines="0"/>
        <w:ind w:firstLine="480" w:firstLineChars="20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w:t>
      </w:r>
      <w:r>
        <w:rPr>
          <w:rFonts w:hint="eastAsia" w:ascii="宋体" w:hAnsi="宋体"/>
          <w:b/>
          <w:color w:val="auto"/>
          <w:sz w:val="24"/>
          <w:szCs w:val="24"/>
          <w:lang w:val="zh-CN"/>
        </w:rPr>
        <w:t>．教育支出</w:t>
      </w:r>
      <w:r>
        <w:rPr>
          <w:rFonts w:hint="eastAsia" w:ascii="宋体" w:hAnsi="宋体"/>
          <w:color w:val="auto"/>
          <w:sz w:val="24"/>
          <w:szCs w:val="24"/>
          <w:lang w:val="zh-CN"/>
        </w:rPr>
        <w:t>年初预算数为360.87万元,支出决算为440.30万元,完成年初预算的122.01%,决算数大于预算数的主要原因是决算数大于预算数的主要原因是专项资金未纳入年初预算。</w:t>
      </w:r>
    </w:p>
    <w:p w14:paraId="2CC4D724">
      <w:pPr>
        <w:spacing w:before="100" w:beforeLines="0" w:after="100" w:afterLines="0"/>
        <w:ind w:firstLine="482" w:firstLineChars="200"/>
        <w:jc w:val="left"/>
        <w:rPr>
          <w:rFonts w:hint="eastAsia" w:ascii="宋体" w:hAnsi="宋体"/>
          <w:color w:val="auto"/>
          <w:sz w:val="24"/>
          <w:szCs w:val="24"/>
          <w:lang w:val="zh-CN"/>
        </w:rPr>
      </w:pPr>
      <w:r>
        <w:rPr>
          <w:rFonts w:hint="eastAsia" w:ascii="Times New Roman" w:hAnsi="Times New Roman" w:eastAsia="宋体"/>
          <w:b/>
          <w:color w:val="auto"/>
          <w:sz w:val="24"/>
          <w:szCs w:val="24"/>
          <w:lang w:val="en-US" w:eastAsia="zh-CN"/>
        </w:rPr>
        <w:t>2</w:t>
      </w:r>
      <w:r>
        <w:rPr>
          <w:rFonts w:hint="eastAsia" w:ascii="宋体" w:hAnsi="宋体"/>
          <w:b/>
          <w:color w:val="auto"/>
          <w:sz w:val="24"/>
          <w:szCs w:val="24"/>
          <w:lang w:val="zh-CN"/>
        </w:rPr>
        <w:t>．社会保障和就业支出</w:t>
      </w:r>
      <w:r>
        <w:rPr>
          <w:rFonts w:hint="eastAsia" w:ascii="宋体" w:hAnsi="宋体"/>
          <w:color w:val="auto"/>
          <w:sz w:val="24"/>
          <w:szCs w:val="24"/>
          <w:lang w:val="zh-CN"/>
        </w:rPr>
        <w:t>年初预算数为54.93万元,支出决算为32.06万元,完成年初预算的58.37%,决算数小于预算数的主要原因是月份养老保险和工伤失业保险未支出。</w:t>
      </w:r>
    </w:p>
    <w:p w14:paraId="58958EFF">
      <w:pPr>
        <w:spacing w:before="100" w:beforeLines="0" w:after="100" w:afterLines="0"/>
        <w:ind w:firstLine="482" w:firstLineChars="200"/>
        <w:jc w:val="left"/>
        <w:rPr>
          <w:rFonts w:hint="eastAsia" w:ascii="宋体" w:hAnsi="宋体"/>
          <w:color w:val="auto"/>
          <w:sz w:val="24"/>
          <w:szCs w:val="24"/>
          <w:lang w:val="zh-CN"/>
        </w:rPr>
      </w:pPr>
      <w:r>
        <w:rPr>
          <w:rFonts w:hint="eastAsia" w:ascii="Times New Roman" w:hAnsi="Times New Roman" w:eastAsia="宋体"/>
          <w:b/>
          <w:color w:val="auto"/>
          <w:sz w:val="24"/>
          <w:szCs w:val="24"/>
          <w:lang w:val="en-US" w:eastAsia="zh-CN"/>
        </w:rPr>
        <w:t>3</w:t>
      </w:r>
      <w:r>
        <w:rPr>
          <w:rFonts w:hint="eastAsia" w:ascii="宋体" w:hAnsi="宋体"/>
          <w:b/>
          <w:color w:val="auto"/>
          <w:sz w:val="24"/>
          <w:szCs w:val="24"/>
          <w:lang w:val="zh-CN"/>
        </w:rPr>
        <w:t>．卫生健康支出</w:t>
      </w:r>
      <w:r>
        <w:rPr>
          <w:rFonts w:hint="eastAsia" w:ascii="宋体" w:hAnsi="宋体"/>
          <w:color w:val="auto"/>
          <w:sz w:val="24"/>
          <w:szCs w:val="24"/>
          <w:lang w:val="zh-CN"/>
        </w:rPr>
        <w:t>年初预算数为19.87万元,支出决算为27.90万元,完成年初预算的140.38%,决算数大于预算数的主要原因是支出医疗保险包含上年结转医疗保险支出。</w:t>
      </w:r>
    </w:p>
    <w:p w14:paraId="5A5B2522">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六、一般公共预算财政拨款基本支出决算情况说明</w:t>
      </w:r>
    </w:p>
    <w:p w14:paraId="3078119A">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2023年度一般公共预算财政拨款基本支出435.30万元。其中：</w:t>
      </w:r>
    </w:p>
    <w:p w14:paraId="1AA97EBF">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人员经费</w:t>
      </w:r>
      <w:r>
        <w:rPr>
          <w:rFonts w:hint="eastAsia" w:ascii="宋体" w:hAnsi="宋体"/>
          <w:color w:val="auto"/>
          <w:sz w:val="24"/>
          <w:szCs w:val="24"/>
          <w:lang w:val="zh-CN"/>
        </w:rPr>
        <w:t>431.51万元,较上年决算数增加73.13万元,增长20.41%,主要原因是</w:t>
      </w:r>
      <w:r>
        <w:rPr>
          <w:rFonts w:hint="eastAsia" w:ascii="宋体" w:hAnsi="宋体"/>
          <w:color w:val="auto"/>
          <w:sz w:val="24"/>
          <w:szCs w:val="24"/>
          <w:lang w:val="en-US" w:eastAsia="zh-CN"/>
        </w:rPr>
        <w:t>社会保障缴费中含上年结余</w:t>
      </w:r>
      <w:r>
        <w:rPr>
          <w:rFonts w:hint="eastAsia" w:ascii="宋体" w:hAnsi="宋体"/>
          <w:color w:val="auto"/>
          <w:sz w:val="24"/>
          <w:szCs w:val="24"/>
          <w:lang w:val="zh-CN"/>
        </w:rPr>
        <w:t>。人员经费用途主要包括基本工资、津贴补贴、奖金、社会保障缴费。</w:t>
      </w:r>
    </w:p>
    <w:p w14:paraId="41C20D20">
      <w:pPr>
        <w:spacing w:before="100" w:beforeLines="0" w:after="100" w:afterLines="0"/>
        <w:ind w:firstLine="482" w:firstLineChars="200"/>
        <w:jc w:val="left"/>
        <w:rPr>
          <w:rFonts w:hint="eastAsia" w:ascii="宋体" w:hAnsi="宋体"/>
          <w:color w:val="auto"/>
          <w:sz w:val="24"/>
          <w:szCs w:val="24"/>
          <w:lang w:val="zh-CN"/>
        </w:rPr>
      </w:pPr>
      <w:r>
        <w:rPr>
          <w:rFonts w:hint="eastAsia" w:ascii="宋体" w:hAnsi="宋体"/>
          <w:b/>
          <w:color w:val="auto"/>
          <w:sz w:val="24"/>
          <w:szCs w:val="24"/>
          <w:lang w:val="zh-CN"/>
        </w:rPr>
        <w:t>公用经费</w:t>
      </w:r>
      <w:r>
        <w:rPr>
          <w:rFonts w:hint="eastAsia" w:ascii="宋体" w:hAnsi="宋体"/>
          <w:color w:val="auto"/>
          <w:sz w:val="24"/>
          <w:szCs w:val="24"/>
          <w:lang w:val="zh-CN"/>
        </w:rPr>
        <w:t>3.79万元,较上年决算数减少26.98万元,下降87.69%,主要原因是</w:t>
      </w:r>
      <w:r>
        <w:rPr>
          <w:rFonts w:hint="eastAsia" w:ascii="宋体" w:hAnsi="宋体"/>
          <w:color w:val="auto"/>
          <w:sz w:val="24"/>
          <w:szCs w:val="24"/>
          <w:lang w:val="en-US" w:eastAsia="zh-CN"/>
        </w:rPr>
        <w:t>财政紧张，</w:t>
      </w:r>
      <w:r>
        <w:rPr>
          <w:rFonts w:hint="eastAsia" w:ascii="宋体" w:hAnsi="宋体"/>
          <w:color w:val="auto"/>
          <w:sz w:val="24"/>
          <w:szCs w:val="24"/>
          <w:lang w:val="zh-CN"/>
        </w:rPr>
        <w:t>商品和服务支出减少。公用经费用途主要包括办公费、印刷费、咨询费、水费、电费、邮电费、取暖费、差旅费、工会费、福利费。</w:t>
      </w:r>
    </w:p>
    <w:p w14:paraId="6C172B1A">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七、政府性基金预算财政拨款收支决算情况说明</w:t>
      </w:r>
    </w:p>
    <w:p w14:paraId="4FC517E6">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en-US" w:eastAsia="zh-CN"/>
        </w:rPr>
        <w:t>本</w:t>
      </w:r>
      <w:r>
        <w:rPr>
          <w:rFonts w:hint="eastAsia" w:ascii="宋体" w:hAnsi="宋体"/>
          <w:color w:val="auto"/>
          <w:sz w:val="24"/>
          <w:szCs w:val="24"/>
          <w:lang w:val="zh-CN"/>
        </w:rPr>
        <w:t>单位无政府性基金预算财政拨款收支的,说明如下类似内容：</w:t>
      </w:r>
      <w:r>
        <w:rPr>
          <w:rFonts w:hint="default" w:ascii="宋体" w:hAnsi="宋体"/>
          <w:color w:val="auto"/>
          <w:sz w:val="24"/>
          <w:szCs w:val="24"/>
          <w:lang w:val="zh-CN"/>
        </w:rPr>
        <w:t>“</w:t>
      </w:r>
      <w:r>
        <w:rPr>
          <w:rFonts w:hint="eastAsia" w:ascii="宋体" w:hAnsi="宋体"/>
          <w:color w:val="auto"/>
          <w:sz w:val="24"/>
          <w:szCs w:val="24"/>
          <w:lang w:val="zh-CN"/>
        </w:rPr>
        <w:t>本部门2023年度无政府性基金收入,也没有使用政府性基金安排的支出。</w:t>
      </w:r>
      <w:r>
        <w:rPr>
          <w:rFonts w:hint="default" w:ascii="宋体" w:hAnsi="宋体"/>
          <w:color w:val="auto"/>
          <w:sz w:val="24"/>
          <w:szCs w:val="24"/>
          <w:lang w:val="zh-CN"/>
        </w:rPr>
        <w:t>”</w:t>
      </w:r>
    </w:p>
    <w:p w14:paraId="39B409C6">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八、国有资本经营预算财政拨款支出情况说明</w:t>
      </w:r>
    </w:p>
    <w:p w14:paraId="243A3BFF">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en-US" w:eastAsia="zh-CN"/>
        </w:rPr>
        <w:t>本</w:t>
      </w:r>
      <w:r>
        <w:rPr>
          <w:rFonts w:hint="eastAsia" w:ascii="宋体" w:hAnsi="宋体"/>
          <w:color w:val="auto"/>
          <w:sz w:val="24"/>
          <w:szCs w:val="24"/>
          <w:lang w:val="zh-CN"/>
        </w:rPr>
        <w:t>单位无国有资本经营预算财政拨款,2023年度没有使用国有资本经营预算安排的支出。</w:t>
      </w:r>
    </w:p>
    <w:p w14:paraId="4CF42358">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九</w:t>
      </w:r>
      <w:r>
        <w:rPr>
          <w:rFonts w:hint="eastAsia" w:ascii="宋体" w:hAnsi="宋体"/>
          <w:b/>
          <w:bCs/>
          <w:color w:val="auto"/>
          <w:sz w:val="24"/>
          <w:szCs w:val="24"/>
          <w:lang w:val="zh-CN" w:eastAsia="zh-CN"/>
        </w:rPr>
        <w:t>、财政拨款</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三公</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经费支出决算情况说明</w:t>
      </w:r>
    </w:p>
    <w:p w14:paraId="74875A33">
      <w:pPr>
        <w:spacing w:before="100" w:beforeLines="0" w:after="100" w:afterLines="0"/>
        <w:ind w:firstLine="480" w:firstLineChars="200"/>
        <w:jc w:val="left"/>
        <w:rPr>
          <w:rFonts w:hint="eastAsia" w:ascii="宋体" w:hAnsi="宋体"/>
          <w:color w:val="auto"/>
          <w:sz w:val="24"/>
          <w:szCs w:val="24"/>
          <w:lang w:val="en-US" w:eastAsia="zh-CN"/>
        </w:rPr>
      </w:pPr>
      <w:r>
        <w:rPr>
          <w:rFonts w:hint="eastAsia" w:ascii="宋体" w:hAnsi="宋体"/>
          <w:color w:val="auto"/>
          <w:sz w:val="24"/>
          <w:szCs w:val="24"/>
          <w:lang w:val="en-US" w:eastAsia="zh-CN"/>
        </w:rPr>
        <w:t>本</w:t>
      </w:r>
      <w:r>
        <w:rPr>
          <w:rFonts w:hint="eastAsia" w:ascii="宋体" w:hAnsi="宋体"/>
          <w:color w:val="auto"/>
          <w:sz w:val="24"/>
          <w:szCs w:val="24"/>
          <w:lang w:val="zh-CN"/>
        </w:rPr>
        <w:t>单位,无</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经费支出的,说明如下类似内容：</w:t>
      </w:r>
      <w:r>
        <w:rPr>
          <w:rFonts w:hint="default" w:ascii="宋体" w:hAnsi="宋体"/>
          <w:color w:val="auto"/>
          <w:sz w:val="24"/>
          <w:szCs w:val="24"/>
          <w:lang w:val="zh-CN"/>
        </w:rPr>
        <w:t>“</w:t>
      </w:r>
      <w:r>
        <w:rPr>
          <w:rFonts w:hint="eastAsia" w:ascii="宋体" w:hAnsi="宋体"/>
          <w:color w:val="auto"/>
          <w:sz w:val="24"/>
          <w:szCs w:val="24"/>
          <w:lang w:val="zh-CN"/>
        </w:rPr>
        <w:t>我单位</w:t>
      </w:r>
      <w:r>
        <w:rPr>
          <w:rFonts w:hint="eastAsia" w:ascii="宋体" w:hAnsi="宋体"/>
          <w:color w:val="auto"/>
          <w:sz w:val="24"/>
          <w:szCs w:val="24"/>
          <w:lang w:val="en-US" w:eastAsia="zh-CN"/>
        </w:rPr>
        <w:t>无公务公车，无公务接待费，无因公出国（境）费。</w:t>
      </w:r>
    </w:p>
    <w:p w14:paraId="71D63EE4">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w:t>
      </w:r>
      <w:r>
        <w:rPr>
          <w:rFonts w:hint="eastAsia" w:ascii="宋体" w:hAnsi="宋体"/>
          <w:b/>
          <w:bCs/>
          <w:color w:val="auto"/>
          <w:sz w:val="24"/>
          <w:szCs w:val="24"/>
          <w:lang w:val="zh-CN" w:eastAsia="zh-CN"/>
        </w:rPr>
        <w:t>、机关运行经费支出情况说明</w:t>
      </w:r>
    </w:p>
    <w:p w14:paraId="42A26C1E">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我单位2023年度无机关运行相关经费。</w:t>
      </w:r>
    </w:p>
    <w:p w14:paraId="26296350">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十一、政府采购支出情况说明</w:t>
      </w:r>
    </w:p>
    <w:p w14:paraId="19AF4EE7">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2023年度本部门政府采购支出合计</w:t>
      </w:r>
      <w:r>
        <w:rPr>
          <w:rFonts w:hint="eastAsia" w:ascii="宋体" w:hAnsi="宋体"/>
          <w:color w:val="auto"/>
          <w:sz w:val="24"/>
          <w:szCs w:val="24"/>
          <w:lang w:val="en-US" w:eastAsia="zh-CN"/>
        </w:rPr>
        <w:t>15.33</w:t>
      </w:r>
      <w:r>
        <w:rPr>
          <w:rFonts w:hint="eastAsia" w:ascii="宋体" w:hAnsi="宋体"/>
          <w:color w:val="auto"/>
          <w:sz w:val="24"/>
          <w:szCs w:val="24"/>
          <w:lang w:val="zh-CN"/>
        </w:rPr>
        <w:t>万元,其中：政府采购货物支出</w:t>
      </w:r>
      <w:r>
        <w:rPr>
          <w:rFonts w:hint="eastAsia" w:ascii="宋体" w:hAnsi="宋体"/>
          <w:color w:val="auto"/>
          <w:sz w:val="24"/>
          <w:szCs w:val="24"/>
          <w:lang w:val="en-US" w:eastAsia="zh-CN"/>
        </w:rPr>
        <w:t>14.91</w:t>
      </w:r>
      <w:r>
        <w:rPr>
          <w:rFonts w:hint="eastAsia" w:ascii="宋体" w:hAnsi="宋体"/>
          <w:color w:val="auto"/>
          <w:sz w:val="24"/>
          <w:szCs w:val="24"/>
          <w:lang w:val="zh-CN"/>
        </w:rPr>
        <w:t>万元、政府采购工程支出</w:t>
      </w:r>
      <w:r>
        <w:rPr>
          <w:rFonts w:hint="eastAsia" w:ascii="宋体" w:hAnsi="宋体"/>
          <w:color w:val="auto"/>
          <w:sz w:val="24"/>
          <w:szCs w:val="24"/>
          <w:lang w:val="en-US" w:eastAsia="zh-CN"/>
        </w:rPr>
        <w:t>0.42</w:t>
      </w:r>
      <w:r>
        <w:rPr>
          <w:rFonts w:hint="eastAsia" w:ascii="宋体" w:hAnsi="宋体"/>
          <w:color w:val="auto"/>
          <w:sz w:val="24"/>
          <w:szCs w:val="24"/>
          <w:lang w:val="zh-CN"/>
        </w:rPr>
        <w:t>万元、政府采购服务支出0.00万元。授予中小企业合同金额0.00万元,占政府采购支出总额的%,其中：授予小微企业合同金额0.00万元,占政府采购支出总额的</w:t>
      </w:r>
      <w:r>
        <w:rPr>
          <w:rFonts w:hint="eastAsia" w:ascii="宋体" w:hAnsi="宋体"/>
          <w:color w:val="auto"/>
          <w:sz w:val="24"/>
          <w:szCs w:val="24"/>
          <w:lang w:val="en-US" w:eastAsia="zh-CN"/>
        </w:rPr>
        <w:t>0</w:t>
      </w:r>
      <w:r>
        <w:rPr>
          <w:rFonts w:hint="eastAsia" w:ascii="宋体" w:hAnsi="宋体"/>
          <w:color w:val="auto"/>
          <w:sz w:val="24"/>
          <w:szCs w:val="24"/>
          <w:lang w:val="zh-CN"/>
        </w:rPr>
        <w:t>%。</w:t>
      </w:r>
    </w:p>
    <w:p w14:paraId="7C643560">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十二</w:t>
      </w:r>
      <w:r>
        <w:rPr>
          <w:rFonts w:hint="eastAsia" w:ascii="宋体" w:hAnsi="宋体"/>
          <w:b/>
          <w:bCs/>
          <w:color w:val="auto"/>
          <w:sz w:val="24"/>
          <w:szCs w:val="24"/>
          <w:lang w:val="zh-CN" w:eastAsia="zh-CN"/>
        </w:rPr>
        <w:t>、国有资产占用情况说明</w:t>
      </w:r>
    </w:p>
    <w:p w14:paraId="4A8E1A25">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截至2023年12月31日,本部门共有车辆0辆,其中,副部(省)级及以上领导用车0辆、主要领导干部用车0辆、机要通信用车0辆、应急保障用车0辆、执法执勤用车0辆,特种专业技术用车0辆,离退休干部用车0辆,其他用车0辆。单价100万元(含)以上设备0台(套)。</w:t>
      </w:r>
    </w:p>
    <w:p w14:paraId="644BF1CF">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十三、其他需要说明的情况</w:t>
      </w:r>
    </w:p>
    <w:p w14:paraId="6BC764F8">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由于决算公开表格中金额数值应当保留两位小数，公开数据为四舍五入计算结果，个别数据合计项与分项之和存在小数点后差额，特此说明。</w:t>
      </w:r>
    </w:p>
    <w:p w14:paraId="7411A852">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第四部分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预算绩效情况说明</w:t>
      </w:r>
    </w:p>
    <w:p w14:paraId="7EAADA3E">
      <w:pPr>
        <w:spacing w:before="100" w:beforeLines="0" w:after="100" w:afterLines="0"/>
        <w:ind w:firstLine="240" w:firstLineChars="100"/>
        <w:jc w:val="left"/>
        <w:rPr>
          <w:rFonts w:hint="eastAsia" w:ascii="宋体" w:hAnsi="宋体"/>
          <w:b/>
          <w:bCs/>
          <w:color w:val="auto"/>
          <w:sz w:val="24"/>
          <w:szCs w:val="24"/>
          <w:lang w:val="zh-CN" w:eastAsia="zh-CN"/>
        </w:rPr>
      </w:pPr>
      <w:r>
        <w:rPr>
          <w:rFonts w:hint="eastAsia" w:ascii="宋体" w:hAnsi="宋体"/>
          <w:color w:val="FF0000"/>
          <w:sz w:val="24"/>
          <w:szCs w:val="24"/>
          <w:lang w:val="en-US" w:eastAsia="zh-CN"/>
        </w:rPr>
        <w:t xml:space="preserve"> </w:t>
      </w:r>
      <w:r>
        <w:rPr>
          <w:rFonts w:hint="eastAsia" w:ascii="宋体" w:hAnsi="宋体"/>
          <w:b/>
          <w:bCs/>
          <w:color w:val="auto"/>
          <w:sz w:val="24"/>
          <w:szCs w:val="24"/>
          <w:lang w:val="zh-CN" w:eastAsia="zh-CN"/>
        </w:rPr>
        <w:t>一、预算绩效管理工作开展情况</w:t>
      </w:r>
    </w:p>
    <w:p w14:paraId="31BAC95E">
      <w:pPr>
        <w:keepNext/>
        <w:keepLines/>
        <w:suppressLineNumbers/>
        <w:spacing w:beforeLines="0" w:afterLines="0"/>
        <w:ind w:firstLine="480" w:firstLineChars="200"/>
        <w:jc w:val="both"/>
        <w:rPr>
          <w:rFonts w:hint="eastAsia" w:ascii="仿宋_GB2312" w:hAnsi="仿宋_GB2312" w:eastAsia="仿宋_GB2312" w:cs="仿宋_GB2312"/>
          <w:color w:val="auto"/>
          <w:sz w:val="32"/>
          <w:szCs w:val="32"/>
          <w:lang w:val="zh-CN"/>
        </w:rPr>
      </w:pPr>
      <w:r>
        <w:rPr>
          <w:rFonts w:hint="eastAsia" w:ascii="宋体" w:hAnsi="宋体" w:eastAsia="宋体" w:cs="宋体"/>
          <w:color w:val="auto"/>
          <w:kern w:val="0"/>
          <w:sz w:val="24"/>
          <w:szCs w:val="24"/>
          <w:lang w:val="en-US"/>
        </w:rPr>
        <w:t>根据预算绩效管理要求,本部门对</w:t>
      </w:r>
      <w:r>
        <w:rPr>
          <w:rFonts w:hint="eastAsia" w:ascii="宋体" w:hAnsi="宋体" w:eastAsia="宋体" w:cs="宋体"/>
          <w:color w:val="auto"/>
          <w:kern w:val="0"/>
          <w:sz w:val="24"/>
          <w:szCs w:val="24"/>
          <w:lang w:val="en-US" w:eastAsia="zh-CN"/>
        </w:rPr>
        <w:t>2023</w:t>
      </w:r>
      <w:r>
        <w:rPr>
          <w:rFonts w:hint="eastAsia" w:ascii="宋体" w:hAnsi="宋体" w:eastAsia="宋体" w:cs="宋体"/>
          <w:color w:val="auto"/>
          <w:kern w:val="0"/>
          <w:sz w:val="24"/>
          <w:szCs w:val="24"/>
          <w:lang w:val="en-US"/>
        </w:rPr>
        <w:t>年度一般公共预算项目支出全面开展绩效自评,其中,一级项目</w:t>
      </w:r>
      <w:r>
        <w:rPr>
          <w:rFonts w:hint="eastAsia" w:ascii="宋体" w:hAnsi="宋体" w:cs="宋体"/>
          <w:color w:val="auto"/>
          <w:kern w:val="0"/>
          <w:sz w:val="24"/>
          <w:szCs w:val="24"/>
          <w:lang w:val="en-US" w:eastAsia="zh-CN"/>
        </w:rPr>
        <w:t>1</w:t>
      </w:r>
      <w:r>
        <w:rPr>
          <w:rFonts w:hint="eastAsia" w:ascii="宋体" w:hAnsi="宋体" w:eastAsia="宋体" w:cs="宋体"/>
          <w:color w:val="auto"/>
          <w:kern w:val="0"/>
          <w:sz w:val="24"/>
          <w:szCs w:val="24"/>
          <w:lang w:val="en-US"/>
        </w:rPr>
        <w:t>个,二级项目</w:t>
      </w:r>
      <w:r>
        <w:rPr>
          <w:rFonts w:hint="eastAsia" w:ascii="宋体" w:hAnsi="宋体" w:cs="宋体"/>
          <w:color w:val="auto"/>
          <w:kern w:val="0"/>
          <w:sz w:val="24"/>
          <w:szCs w:val="24"/>
          <w:lang w:val="en-US" w:eastAsia="zh-CN"/>
        </w:rPr>
        <w:t>0</w:t>
      </w:r>
      <w:r>
        <w:rPr>
          <w:rFonts w:hint="eastAsia" w:ascii="宋体" w:hAnsi="宋体" w:eastAsia="宋体" w:cs="宋体"/>
          <w:color w:val="auto"/>
          <w:kern w:val="0"/>
          <w:sz w:val="24"/>
          <w:szCs w:val="24"/>
          <w:lang w:val="en-US"/>
        </w:rPr>
        <w:t>个,共涉及资金</w:t>
      </w:r>
      <w:r>
        <w:rPr>
          <w:rFonts w:hint="eastAsia" w:ascii="宋体" w:hAnsi="宋体" w:cs="宋体"/>
          <w:color w:val="auto"/>
          <w:kern w:val="0"/>
          <w:sz w:val="24"/>
          <w:szCs w:val="24"/>
          <w:lang w:val="en-US" w:eastAsia="zh-CN"/>
        </w:rPr>
        <w:t>500.26</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,占一般公共预算项目支出总额的</w:t>
      </w:r>
      <w:r>
        <w:rPr>
          <w:rFonts w:hint="eastAsia" w:ascii="宋体" w:hAnsi="宋体" w:cs="宋体"/>
          <w:color w:val="auto"/>
          <w:kern w:val="0"/>
          <w:sz w:val="24"/>
          <w:szCs w:val="24"/>
          <w:lang w:val="en-US" w:eastAsia="zh-CN"/>
        </w:rPr>
        <w:t>100</w:t>
      </w:r>
      <w:r>
        <w:rPr>
          <w:rFonts w:hint="eastAsia" w:ascii="宋体" w:hAnsi="宋体" w:eastAsia="宋体" w:cs="宋体"/>
          <w:color w:val="auto"/>
          <w:kern w:val="0"/>
          <w:sz w:val="24"/>
          <w:szCs w:val="24"/>
          <w:lang w:val="en-US"/>
        </w:rPr>
        <w:t>%。组织对“</w:t>
      </w:r>
      <w:r>
        <w:rPr>
          <w:rFonts w:hint="eastAsia" w:ascii="宋体" w:hAnsi="宋体" w:cs="宋体"/>
          <w:color w:val="auto"/>
          <w:kern w:val="0"/>
          <w:sz w:val="24"/>
          <w:szCs w:val="24"/>
          <w:lang w:val="en-US" w:eastAsia="zh-CN"/>
        </w:rPr>
        <w:t>一般公共预算项目</w:t>
      </w:r>
      <w:r>
        <w:rPr>
          <w:rFonts w:hint="eastAsia" w:ascii="宋体" w:hAnsi="宋体" w:eastAsia="宋体" w:cs="宋体"/>
          <w:color w:val="auto"/>
          <w:kern w:val="0"/>
          <w:sz w:val="24"/>
          <w:szCs w:val="24"/>
          <w:lang w:val="en-US"/>
        </w:rPr>
        <w:t>”等</w:t>
      </w:r>
      <w:r>
        <w:rPr>
          <w:rFonts w:hint="eastAsia" w:ascii="宋体" w:hAnsi="宋体" w:cs="宋体"/>
          <w:color w:val="auto"/>
          <w:kern w:val="0"/>
          <w:sz w:val="24"/>
          <w:szCs w:val="24"/>
          <w:lang w:val="en-US" w:eastAsia="zh-CN"/>
        </w:rPr>
        <w:t>1</w:t>
      </w:r>
      <w:r>
        <w:rPr>
          <w:rFonts w:hint="eastAsia" w:ascii="宋体" w:hAnsi="宋体" w:eastAsia="宋体" w:cs="宋体"/>
          <w:color w:val="auto"/>
          <w:kern w:val="0"/>
          <w:sz w:val="24"/>
          <w:szCs w:val="24"/>
          <w:lang w:val="en-US"/>
        </w:rPr>
        <w:t>个项目开展了部门评价,涉及一般公共预算支出</w:t>
      </w:r>
      <w:r>
        <w:rPr>
          <w:rFonts w:hint="eastAsia" w:ascii="宋体" w:hAnsi="宋体" w:cs="宋体"/>
          <w:color w:val="auto"/>
          <w:kern w:val="0"/>
          <w:sz w:val="24"/>
          <w:szCs w:val="24"/>
          <w:lang w:val="en-US" w:eastAsia="zh-CN"/>
        </w:rPr>
        <w:t>500.26</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,政府性基金预算支出</w:t>
      </w:r>
      <w:r>
        <w:rPr>
          <w:rFonts w:hint="eastAsia" w:ascii="宋体" w:hAnsi="宋体" w:cs="宋体"/>
          <w:color w:val="auto"/>
          <w:kern w:val="0"/>
          <w:sz w:val="24"/>
          <w:szCs w:val="24"/>
          <w:lang w:val="en-US" w:eastAsia="zh-CN"/>
        </w:rPr>
        <w:t>0</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,国有资本经营预算支出</w:t>
      </w:r>
      <w:r>
        <w:rPr>
          <w:rFonts w:hint="eastAsia" w:ascii="宋体" w:hAnsi="宋体" w:cs="宋体"/>
          <w:color w:val="auto"/>
          <w:kern w:val="0"/>
          <w:sz w:val="24"/>
          <w:szCs w:val="24"/>
          <w:lang w:val="en-US" w:eastAsia="zh-CN"/>
        </w:rPr>
        <w:t>0</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。从评价情况来看,从项目的经济性、效率性、有效性和可持续性等方面进行量化、具体分析，综合得分均为</w:t>
      </w:r>
      <w:r>
        <w:rPr>
          <w:rFonts w:hint="eastAsia" w:ascii="宋体" w:hAnsi="宋体" w:cs="宋体"/>
          <w:color w:val="auto"/>
          <w:kern w:val="0"/>
          <w:sz w:val="24"/>
          <w:szCs w:val="24"/>
          <w:lang w:val="en-US" w:eastAsia="zh-CN"/>
        </w:rPr>
        <w:t>98.3</w:t>
      </w:r>
      <w:r>
        <w:rPr>
          <w:rFonts w:hint="eastAsia" w:ascii="宋体" w:hAnsi="宋体" w:eastAsia="宋体" w:cs="宋体"/>
          <w:color w:val="auto"/>
          <w:kern w:val="0"/>
          <w:sz w:val="24"/>
          <w:szCs w:val="24"/>
          <w:lang w:val="en-US"/>
        </w:rPr>
        <w:t>分。主要产出和效果：管理学校教育经费；执行财务管理制度；保障单位工作正常运转。</w:t>
      </w:r>
    </w:p>
    <w:p w14:paraId="350F270D">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二、绩效自评结果</w:t>
      </w:r>
    </w:p>
    <w:p w14:paraId="4F9D9B3A">
      <w:pPr>
        <w:keepNext/>
        <w:keepLines/>
        <w:suppressLineNumbers/>
        <w:spacing w:beforeLines="0" w:afterLines="0"/>
        <w:ind w:firstLine="360" w:firstLineChars="150"/>
        <w:jc w:val="both"/>
        <w:rPr>
          <w:rFonts w:hint="eastAsia" w:ascii="宋体" w:hAnsi="宋体" w:cs="宋体"/>
          <w:color w:val="auto"/>
          <w:kern w:val="0"/>
          <w:sz w:val="24"/>
          <w:szCs w:val="24"/>
          <w:lang w:val="en-US" w:eastAsia="zh-CN"/>
        </w:rPr>
      </w:pPr>
      <w:r>
        <w:rPr>
          <w:rFonts w:hint="eastAsia" w:ascii="宋体" w:hAnsi="宋体" w:eastAsia="宋体" w:cs="宋体"/>
          <w:color w:val="auto"/>
          <w:kern w:val="0"/>
          <w:sz w:val="24"/>
          <w:szCs w:val="24"/>
          <w:highlight w:val="none"/>
          <w:lang w:val="en-US"/>
        </w:rPr>
        <w:t>我部门在</w:t>
      </w:r>
      <w:r>
        <w:rPr>
          <w:rFonts w:hint="eastAsia" w:ascii="宋体" w:hAnsi="宋体" w:eastAsia="宋体" w:cs="宋体"/>
          <w:color w:val="auto"/>
          <w:kern w:val="0"/>
          <w:sz w:val="24"/>
          <w:szCs w:val="24"/>
          <w:highlight w:val="none"/>
          <w:lang w:val="en-US" w:eastAsia="zh-CN"/>
        </w:rPr>
        <w:t>2023</w:t>
      </w:r>
      <w:r>
        <w:rPr>
          <w:rFonts w:hint="eastAsia" w:ascii="宋体" w:hAnsi="宋体" w:eastAsia="宋体" w:cs="宋体"/>
          <w:color w:val="auto"/>
          <w:kern w:val="0"/>
          <w:sz w:val="24"/>
          <w:szCs w:val="24"/>
          <w:highlight w:val="none"/>
          <w:lang w:val="en-US"/>
        </w:rPr>
        <w:t>年度部门决算中反映</w:t>
      </w:r>
      <w:r>
        <w:rPr>
          <w:rFonts w:hint="eastAsia" w:ascii="宋体" w:hAnsi="宋体" w:cs="宋体"/>
          <w:color w:val="auto"/>
          <w:kern w:val="0"/>
          <w:sz w:val="24"/>
          <w:szCs w:val="24"/>
          <w:highlight w:val="none"/>
          <w:lang w:val="en-US" w:eastAsia="zh-CN"/>
        </w:rPr>
        <w:t>“一般公共预算项目”和“2023年公办民助产权”</w:t>
      </w:r>
      <w:r>
        <w:rPr>
          <w:rFonts w:hint="eastAsia" w:ascii="宋体" w:hAnsi="宋体" w:eastAsia="宋体" w:cs="宋体"/>
          <w:color w:val="auto"/>
          <w:kern w:val="0"/>
          <w:sz w:val="24"/>
          <w:szCs w:val="24"/>
          <w:highlight w:val="none"/>
          <w:lang w:val="en-US"/>
        </w:rPr>
        <w:t>等</w:t>
      </w:r>
      <w:r>
        <w:rPr>
          <w:rFonts w:hint="eastAsia" w:ascii="宋体" w:hAnsi="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lang w:val="en-US"/>
        </w:rPr>
        <w:t>个项目绩效自评结果。</w:t>
      </w:r>
      <w:r>
        <w:rPr>
          <w:rFonts w:hint="eastAsia" w:ascii="宋体" w:hAnsi="宋体" w:eastAsia="宋体" w:cs="宋体"/>
          <w:color w:val="auto"/>
          <w:kern w:val="0"/>
          <w:sz w:val="24"/>
          <w:szCs w:val="24"/>
          <w:lang w:val="en-US" w:eastAsia="zh-CN"/>
        </w:rPr>
        <w:t>“</w:t>
      </w:r>
      <w:r>
        <w:rPr>
          <w:rFonts w:hint="eastAsia" w:ascii="宋体" w:hAnsi="宋体" w:cs="宋体"/>
          <w:color w:val="auto"/>
          <w:kern w:val="0"/>
          <w:sz w:val="24"/>
          <w:szCs w:val="24"/>
          <w:lang w:val="en-US" w:eastAsia="zh-CN"/>
        </w:rPr>
        <w:t>一般公共预算</w:t>
      </w:r>
      <w:r>
        <w:rPr>
          <w:rFonts w:hint="eastAsia" w:ascii="宋体" w:hAnsi="宋体" w:eastAsia="宋体" w:cs="宋体"/>
          <w:color w:val="auto"/>
          <w:kern w:val="0"/>
          <w:sz w:val="24"/>
          <w:szCs w:val="24"/>
          <w:lang w:val="en-US" w:eastAsia="zh-CN"/>
        </w:rPr>
        <w:t>”</w:t>
      </w:r>
      <w:r>
        <w:rPr>
          <w:rFonts w:hint="eastAsia" w:ascii="宋体" w:hAnsi="宋体" w:eastAsia="宋体" w:cs="宋体"/>
          <w:color w:val="auto"/>
          <w:kern w:val="0"/>
          <w:sz w:val="24"/>
          <w:szCs w:val="24"/>
          <w:lang w:val="en-US"/>
        </w:rPr>
        <w:t>项目绩效自评情况：根据年初设定的绩效目标,项目绩效自评得分为</w:t>
      </w:r>
      <w:r>
        <w:rPr>
          <w:rFonts w:hint="eastAsia" w:ascii="宋体" w:hAnsi="宋体" w:cs="宋体"/>
          <w:color w:val="auto"/>
          <w:kern w:val="0"/>
          <w:sz w:val="24"/>
          <w:szCs w:val="24"/>
          <w:lang w:val="en-US" w:eastAsia="zh-CN"/>
        </w:rPr>
        <w:t>98.3</w:t>
      </w:r>
      <w:r>
        <w:rPr>
          <w:rFonts w:hint="eastAsia" w:ascii="宋体" w:hAnsi="宋体" w:eastAsia="宋体" w:cs="宋体"/>
          <w:color w:val="auto"/>
          <w:kern w:val="0"/>
          <w:sz w:val="24"/>
          <w:szCs w:val="24"/>
          <w:lang w:val="en-US"/>
        </w:rPr>
        <w:t>分。项目全年预算数为</w:t>
      </w:r>
      <w:r>
        <w:rPr>
          <w:rFonts w:hint="eastAsia" w:ascii="宋体" w:hAnsi="宋体" w:cs="宋体"/>
          <w:color w:val="auto"/>
          <w:kern w:val="0"/>
          <w:sz w:val="24"/>
          <w:szCs w:val="24"/>
          <w:lang w:val="en-US" w:eastAsia="zh-CN"/>
        </w:rPr>
        <w:t>500.26</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,执行数为</w:t>
      </w:r>
      <w:r>
        <w:rPr>
          <w:rFonts w:hint="eastAsia" w:ascii="宋体" w:hAnsi="宋体" w:cs="宋体"/>
          <w:color w:val="auto"/>
          <w:kern w:val="0"/>
          <w:sz w:val="24"/>
          <w:szCs w:val="24"/>
          <w:lang w:val="en-US" w:eastAsia="zh-CN"/>
        </w:rPr>
        <w:t>500.26</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,完成预算的</w:t>
      </w:r>
      <w:r>
        <w:rPr>
          <w:rFonts w:hint="eastAsia" w:ascii="宋体" w:hAnsi="宋体" w:cs="宋体"/>
          <w:color w:val="auto"/>
          <w:kern w:val="0"/>
          <w:sz w:val="24"/>
          <w:szCs w:val="24"/>
          <w:lang w:val="en-US" w:eastAsia="zh-CN"/>
        </w:rPr>
        <w:t>100</w:t>
      </w:r>
      <w:r>
        <w:rPr>
          <w:rFonts w:hint="eastAsia" w:ascii="宋体" w:hAnsi="宋体" w:eastAsia="宋体" w:cs="宋体"/>
          <w:color w:val="auto"/>
          <w:kern w:val="0"/>
          <w:sz w:val="24"/>
          <w:szCs w:val="24"/>
          <w:lang w:val="en-US"/>
        </w:rPr>
        <w:t>%。一是资金拨付和使用按照计划完成；二是确保我园工作能正常运转。发现的主要问题及原因：随着物价上涨，补助标准有待提高。下一步改进措施：完善相关机制，保障项目实施</w:t>
      </w:r>
      <w:r>
        <w:rPr>
          <w:rFonts w:hint="eastAsia" w:ascii="宋体" w:hAnsi="宋体" w:cs="宋体"/>
          <w:color w:val="auto"/>
          <w:kern w:val="0"/>
          <w:sz w:val="24"/>
          <w:szCs w:val="24"/>
          <w:lang w:val="en-US" w:eastAsia="zh-CN"/>
        </w:rPr>
        <w:t>。</w:t>
      </w:r>
    </w:p>
    <w:p w14:paraId="67C59990">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三、部门绩效评价结果</w:t>
      </w:r>
      <w:bookmarkStart w:id="0" w:name="_GoBack"/>
      <w:bookmarkEnd w:id="0"/>
    </w:p>
    <w:p w14:paraId="2DD8DA28">
      <w:pPr>
        <w:spacing w:before="100" w:beforeLines="0" w:after="100" w:afterLines="0"/>
        <w:ind w:firstLine="480" w:firstLineChars="200"/>
        <w:jc w:val="both"/>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部门（单位）整体支出绩效自评表（见附件）</w:t>
      </w:r>
    </w:p>
    <w:p w14:paraId="66EFD52E">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第五部分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名词解释</w:t>
      </w:r>
    </w:p>
    <w:p w14:paraId="09982CD6">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一、财政拨款收入</w:t>
      </w:r>
      <w:r>
        <w:rPr>
          <w:rFonts w:hint="eastAsia" w:ascii="宋体" w:hAnsi="宋体" w:eastAsia="宋体" w:cs="宋体"/>
          <w:color w:val="auto"/>
          <w:sz w:val="24"/>
          <w:szCs w:val="24"/>
          <w:lang w:val="zh-CN"/>
        </w:rPr>
        <w:t>：指本年度从同级财政部门取得的财政拨款,包括一般公共预算财政拨款、政府性基金预算财政拨款和国有资本经营预算财政拨款。</w:t>
      </w:r>
    </w:p>
    <w:p w14:paraId="427811CD">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二、事业收入</w:t>
      </w:r>
      <w:r>
        <w:rPr>
          <w:rFonts w:hint="eastAsia" w:ascii="宋体" w:hAnsi="宋体" w:eastAsia="宋体" w:cs="宋体"/>
          <w:color w:val="auto"/>
          <w:sz w:val="24"/>
          <w:szCs w:val="24"/>
          <w:lang w:val="zh-CN"/>
        </w:rPr>
        <w:t>：指事业单位开展专业业务活动及其辅助活动取得的收入。</w:t>
      </w:r>
    </w:p>
    <w:p w14:paraId="520C2AB5">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三、经营收入</w:t>
      </w:r>
      <w:r>
        <w:rPr>
          <w:rFonts w:hint="eastAsia" w:ascii="宋体" w:hAnsi="宋体" w:eastAsia="宋体" w:cs="宋体"/>
          <w:color w:val="auto"/>
          <w:sz w:val="24"/>
          <w:szCs w:val="24"/>
          <w:lang w:val="zh-CN"/>
        </w:rPr>
        <w:t>：指事业单位在专业业务活动及其辅助活动之外开展非独立核算经营活动取得的收入。</w:t>
      </w:r>
    </w:p>
    <w:p w14:paraId="4334AA4D">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四、其他收入</w:t>
      </w:r>
      <w:r>
        <w:rPr>
          <w:rFonts w:hint="eastAsia" w:ascii="宋体" w:hAnsi="宋体" w:eastAsia="宋体" w:cs="宋体"/>
          <w:color w:val="auto"/>
          <w:sz w:val="24"/>
          <w:szCs w:val="24"/>
          <w:lang w:val="zh-CN"/>
        </w:rPr>
        <w:t>：指除上述“财政拨款收入”“事业收入”、“经营收入”以外的收入。</w:t>
      </w:r>
    </w:p>
    <w:p w14:paraId="473942B0">
      <w:pPr>
        <w:spacing w:before="100" w:beforeLines="0" w:after="100" w:afterLines="0"/>
        <w:jc w:val="both"/>
        <w:rPr>
          <w:rFonts w:hint="eastAsia" w:ascii="宋体" w:hAnsi="宋体" w:eastAsia="宋体" w:cs="宋体"/>
          <w:b w:val="0"/>
          <w:bCs w:val="0"/>
          <w:color w:val="auto"/>
          <w:sz w:val="24"/>
          <w:szCs w:val="24"/>
          <w:lang w:val="zh-CN"/>
        </w:rPr>
      </w:pPr>
      <w:r>
        <w:rPr>
          <w:rFonts w:hint="eastAsia" w:ascii="宋体" w:hAnsi="宋体" w:eastAsia="宋体" w:cs="宋体"/>
          <w:b/>
          <w:bCs/>
          <w:color w:val="auto"/>
          <w:sz w:val="24"/>
          <w:szCs w:val="24"/>
          <w:lang w:val="zh-CN"/>
        </w:rPr>
        <w:t>五、使用非财政拨款结余（含专用结余）：</w:t>
      </w:r>
      <w:r>
        <w:rPr>
          <w:rFonts w:hint="eastAsia" w:ascii="宋体" w:hAnsi="宋体" w:eastAsia="宋体" w:cs="宋体"/>
          <w:b w:val="0"/>
          <w:bCs w:val="0"/>
          <w:color w:val="auto"/>
          <w:sz w:val="24"/>
          <w:szCs w:val="24"/>
          <w:lang w:val="zh-CN"/>
        </w:rPr>
        <w:t>指事业单位按照预算管理要求使用非财政拨款结余弥补收支差额的金额，以及使用专用结余安排支出的金额。</w:t>
      </w:r>
    </w:p>
    <w:p w14:paraId="43F04844">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六、年初结转和结余</w:t>
      </w:r>
      <w:r>
        <w:rPr>
          <w:rFonts w:hint="eastAsia" w:ascii="宋体" w:hAnsi="宋体" w:eastAsia="宋体" w:cs="宋体"/>
          <w:color w:val="auto"/>
          <w:sz w:val="24"/>
          <w:szCs w:val="24"/>
          <w:lang w:val="zh-CN"/>
        </w:rPr>
        <w:t>：指单位上年结转至本年使用的基本支出结转、项目支出结转和结余、经营结余。</w:t>
      </w:r>
    </w:p>
    <w:p w14:paraId="3895E4B6">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七、结余分配</w:t>
      </w:r>
      <w:r>
        <w:rPr>
          <w:rFonts w:hint="eastAsia" w:ascii="宋体" w:hAnsi="宋体" w:eastAsia="宋体" w:cs="宋体"/>
          <w:color w:val="auto"/>
          <w:sz w:val="24"/>
          <w:szCs w:val="24"/>
          <w:lang w:val="zh-CN"/>
        </w:rPr>
        <w:t>：指单位按照会计制度规定缴纳的所得税、提取的专用结余以及转入非财政拨款结余的金额等。</w:t>
      </w:r>
    </w:p>
    <w:p w14:paraId="22AFAC21">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八、年末结转和结余</w:t>
      </w:r>
      <w:r>
        <w:rPr>
          <w:rFonts w:hint="eastAsia" w:ascii="宋体" w:hAnsi="宋体" w:eastAsia="宋体" w:cs="宋体"/>
          <w:color w:val="auto"/>
          <w:sz w:val="24"/>
          <w:szCs w:val="24"/>
          <w:lang w:val="zh-CN"/>
        </w:rPr>
        <w:t>：指单位按有关规定结转到下年的基本支出结转、项目支出结转和结余、经营结余。</w:t>
      </w:r>
    </w:p>
    <w:p w14:paraId="79139568">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九、基本支出</w:t>
      </w:r>
      <w:r>
        <w:rPr>
          <w:rFonts w:hint="eastAsia" w:ascii="宋体" w:hAnsi="宋体" w:eastAsia="宋体" w:cs="宋体"/>
          <w:color w:val="auto"/>
          <w:sz w:val="24"/>
          <w:szCs w:val="24"/>
          <w:lang w:val="zh-CN"/>
        </w:rPr>
        <w:t>：指为保障机构正常运转、完成日常工作任务而发生的人员经费和公用经费。</w:t>
      </w:r>
    </w:p>
    <w:p w14:paraId="5E49B858">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十、项目支出</w:t>
      </w:r>
      <w:r>
        <w:rPr>
          <w:rFonts w:hint="eastAsia" w:ascii="宋体" w:hAnsi="宋体" w:eastAsia="宋体" w:cs="宋体"/>
          <w:color w:val="auto"/>
          <w:sz w:val="24"/>
          <w:szCs w:val="24"/>
          <w:lang w:val="zh-CN"/>
        </w:rPr>
        <w:t>：指在基本支出之外为完成特定行政任务或事业发展目标所发生的支出。</w:t>
      </w:r>
    </w:p>
    <w:p w14:paraId="45ED980D">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十一、经营支出</w:t>
      </w:r>
      <w:r>
        <w:rPr>
          <w:rFonts w:hint="eastAsia" w:ascii="宋体" w:hAnsi="宋体" w:eastAsia="宋体" w:cs="宋体"/>
          <w:color w:val="auto"/>
          <w:sz w:val="24"/>
          <w:szCs w:val="24"/>
          <w:lang w:val="zh-CN"/>
        </w:rPr>
        <w:t>：指事业单位在专业业务活动及其辅助活动之外开展非独立核算经营活动发生的支出。</w:t>
      </w:r>
    </w:p>
    <w:p w14:paraId="1CC39604">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十二、“三公”经费</w:t>
      </w:r>
      <w:r>
        <w:rPr>
          <w:rFonts w:hint="eastAsia" w:ascii="宋体" w:hAnsi="宋体" w:eastAsia="宋体" w:cs="宋体"/>
          <w:color w:val="auto"/>
          <w:sz w:val="24"/>
          <w:szCs w:val="24"/>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36E7BBE7">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十三、机关运行经费</w:t>
      </w:r>
      <w:r>
        <w:rPr>
          <w:rFonts w:hint="eastAsia" w:ascii="宋体" w:hAnsi="宋体" w:eastAsia="宋体" w:cs="宋体"/>
          <w:color w:val="auto"/>
          <w:sz w:val="24"/>
          <w:szCs w:val="24"/>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45D31234">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十四、社会保障和就业支出（类）行政事业单位养老支出（款）机关事业单位基本养老保险缴费支出（项）：</w:t>
      </w:r>
      <w:r>
        <w:rPr>
          <w:rFonts w:hint="eastAsia" w:ascii="宋体" w:hAnsi="宋体" w:eastAsia="宋体" w:cs="宋体"/>
          <w:color w:val="auto"/>
          <w:sz w:val="24"/>
          <w:szCs w:val="24"/>
          <w:lang w:val="zh-CN"/>
        </w:rPr>
        <w:t>反映机关事业单位实施养老保险制度由单位缴纳的基本养老保险支出。</w:t>
      </w:r>
    </w:p>
    <w:p w14:paraId="19DF17DE">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（根据“收入决算表”和“支出决算表”，参照第十四项说明，对本部门所有涉及到的项级支出功能科目进行说明，注意不要重复，并调整段落序号）</w:t>
      </w:r>
    </w:p>
    <w:p w14:paraId="12C91B4F">
      <w:pPr>
        <w:spacing w:before="100" w:beforeLines="0" w:after="100" w:afterLines="0"/>
        <w:jc w:val="both"/>
        <w:rPr>
          <w:rFonts w:hint="eastAsia" w:ascii="仿宋_GB2312" w:hAnsi="仿宋_GB2312" w:eastAsia="仿宋_GB2312" w:cs="仿宋_GB2312"/>
          <w:color w:val="auto"/>
          <w:sz w:val="32"/>
          <w:szCs w:val="32"/>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2MDFhMzViOTVkNGMzOWNiOWNhMTAwMTkyMmNmMmIifQ=="/>
  </w:docVars>
  <w:rsids>
    <w:rsidRoot w:val="00000000"/>
    <w:rsid w:val="002A0B40"/>
    <w:rsid w:val="54B30C3A"/>
    <w:rsid w:val="6B9C4225"/>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6.xml"/><Relationship Id="rId8" Type="http://schemas.openxmlformats.org/officeDocument/2006/relationships/customXml" Target="../customXml/item5.xml"/><Relationship Id="rId7" Type="http://schemas.openxmlformats.org/officeDocument/2006/relationships/customXml" Target="../customXml/item4.xml"/><Relationship Id="rId6" Type="http://schemas.openxmlformats.org/officeDocument/2006/relationships/customXml" Target="../customXml/item3.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9.xml"/><Relationship Id="rId11" Type="http://schemas.openxmlformats.org/officeDocument/2006/relationships/customXml" Target="../customXml/item8.xml"/><Relationship Id="rId10" Type="http://schemas.openxmlformats.org/officeDocument/2006/relationships/customXml" Target="../customXml/item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3.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5.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6.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9.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Props1.xml><?xml version="1.0" encoding="utf-8"?>
<ds:datastoreItem xmlns:ds="http://schemas.openxmlformats.org/officeDocument/2006/customXml" ds:itemID="{19c899a8-a836-4fd7-9ec7-5cb73caa0e98}">
  <ds:schemaRefs/>
</ds:datastoreItem>
</file>

<file path=customXml/itemProps2.xml><?xml version="1.0" encoding="utf-8"?>
<ds:datastoreItem xmlns:ds="http://schemas.openxmlformats.org/officeDocument/2006/customXml" ds:itemID="{87bdf4e6-f13d-43e1-abcb-26e31a1253b4}">
  <ds:schemaRefs/>
</ds:datastoreItem>
</file>

<file path=customXml/itemProps3.xml><?xml version="1.0" encoding="utf-8"?>
<ds:datastoreItem xmlns:ds="http://schemas.openxmlformats.org/officeDocument/2006/customXml" ds:itemID="{e6b862b4-653c-4ebd-ad52-fa44c598fc39}">
  <ds:schemaRefs/>
</ds:datastoreItem>
</file>

<file path=customXml/itemProps4.xml><?xml version="1.0" encoding="utf-8"?>
<ds:datastoreItem xmlns:ds="http://schemas.openxmlformats.org/officeDocument/2006/customXml" ds:itemID="{a3eabba4-6d65-4b64-a14d-cb717dd07ce5}">
  <ds:schemaRefs/>
</ds:datastoreItem>
</file>

<file path=customXml/itemProps5.xml><?xml version="1.0" encoding="utf-8"?>
<ds:datastoreItem xmlns:ds="http://schemas.openxmlformats.org/officeDocument/2006/customXml" ds:itemID="{f52c58f5-41fb-46f9-8bfb-ae216709060e}">
  <ds:schemaRefs/>
</ds:datastoreItem>
</file>

<file path=customXml/itemProps6.xml><?xml version="1.0" encoding="utf-8"?>
<ds:datastoreItem xmlns:ds="http://schemas.openxmlformats.org/officeDocument/2006/customXml" ds:itemID="{90a58877-9770-4af3-982f-f85d7c6b7d3a}">
  <ds:schemaRefs/>
</ds:datastoreItem>
</file>

<file path=customXml/itemProps7.xml><?xml version="1.0" encoding="utf-8"?>
<ds:datastoreItem xmlns:ds="http://schemas.openxmlformats.org/officeDocument/2006/customXml" ds:itemID="{f7b149db-f44b-4bf1-8221-f9bf42162836}">
  <ds:schemaRefs/>
</ds:datastoreItem>
</file>

<file path=customXml/itemProps8.xml><?xml version="1.0" encoding="utf-8"?>
<ds:datastoreItem xmlns:ds="http://schemas.openxmlformats.org/officeDocument/2006/customXml" ds:itemID="{9d64bd5b-a86c-415c-87ca-f54d86346b89}">
  <ds:schemaRefs/>
</ds:datastoreItem>
</file>

<file path=customXml/itemProps9.xml><?xml version="1.0" encoding="utf-8"?>
<ds:datastoreItem xmlns:ds="http://schemas.openxmlformats.org/officeDocument/2006/customXml" ds:itemID="{5c650696-5085-4ef9-8710-438e8aeeb9cc}">
  <ds:schemaRefs/>
</ds:datastoreItem>
</file>

<file path=docProps/app.xml><?xml version="1.0" encoding="utf-8"?>
<Properties xmlns="http://schemas.openxmlformats.org/officeDocument/2006/extended-properties" xmlns:vt="http://schemas.openxmlformats.org/officeDocument/2006/docPropsVTypes">
  <Template>Normal.dotm</Template>
  <Pages>7</Pages>
  <Words>4340</Words>
  <Characters>4748</Characters>
  <Lines>0</Lines>
  <Paragraphs>0</Paragraphs>
  <TotalTime>21</TotalTime>
  <ScaleCrop>false</ScaleCrop>
  <LinksUpToDate>false</LinksUpToDate>
  <CharactersWithSpaces>4758</CharactersWithSpaces>
  <Application>WPS Office_12.1.0.17813_F1E327BC-269C-435d-A152-05C5408002CA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黎明静悄悄</cp:lastModifiedBy>
  <dcterms:modified xsi:type="dcterms:W3CDTF">2024-09-18T06:04:39Z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2052-12.1.0.17813</vt:lpwstr>
  </property>
  <property fmtid="{D5CDD505-2E9C-101B-9397-08002B2CF9AE}" pid="3" name="ICV">
    <vt:lpwstr>A49C15A63D374BD090FFC1993933F33A</vt:lpwstr>
  </property>
</Properties>
</file>