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EDECD">
      <w:pPr>
        <w:spacing w:before="100" w:beforeLines="0" w:after="100" w:afterLines="0"/>
        <w:jc w:val="center"/>
        <w:rPr>
          <w:rFonts w:hint="eastAsia" w:ascii="宋体" w:hAnsi="宋体"/>
          <w:color w:val="auto"/>
          <w:sz w:val="24"/>
          <w:szCs w:val="24"/>
          <w:lang w:val="zh-CN"/>
        </w:rPr>
      </w:pPr>
      <w:bookmarkStart w:id="0" w:name="_GoBack"/>
      <w:bookmarkEnd w:id="0"/>
    </w:p>
    <w:p w14:paraId="646B98B7">
      <w:pPr>
        <w:spacing w:before="100" w:beforeLines="0" w:after="100" w:afterLines="0"/>
        <w:jc w:val="center"/>
        <w:rPr>
          <w:rFonts w:hint="eastAsia" w:ascii="宋体" w:hAnsi="宋体"/>
          <w:color w:val="auto"/>
          <w:sz w:val="24"/>
          <w:szCs w:val="24"/>
          <w:lang w:val="zh-CN"/>
        </w:rPr>
      </w:pPr>
    </w:p>
    <w:p w14:paraId="7549E769">
      <w:pPr>
        <w:spacing w:before="100" w:beforeLines="0" w:after="100" w:afterLines="0"/>
        <w:jc w:val="center"/>
        <w:rPr>
          <w:rFonts w:hint="eastAsia" w:ascii="宋体" w:hAnsi="宋体"/>
          <w:color w:val="auto"/>
          <w:sz w:val="24"/>
          <w:szCs w:val="24"/>
          <w:lang w:val="zh-CN"/>
        </w:rPr>
      </w:pPr>
    </w:p>
    <w:p w14:paraId="361AF763">
      <w:pPr>
        <w:spacing w:before="100" w:beforeLines="0" w:after="100" w:afterLines="0"/>
        <w:jc w:val="center"/>
        <w:rPr>
          <w:rFonts w:hint="eastAsia" w:ascii="宋体" w:hAnsi="宋体"/>
          <w:color w:val="auto"/>
          <w:sz w:val="24"/>
          <w:szCs w:val="24"/>
          <w:lang w:val="zh-CN"/>
        </w:rPr>
      </w:pPr>
    </w:p>
    <w:p w14:paraId="660ECBDB">
      <w:pPr>
        <w:spacing w:before="100" w:beforeLines="0" w:after="100" w:afterLines="0"/>
        <w:jc w:val="center"/>
        <w:rPr>
          <w:rFonts w:hint="eastAsia" w:ascii="宋体" w:hAnsi="宋体"/>
          <w:color w:val="auto"/>
          <w:sz w:val="24"/>
          <w:szCs w:val="24"/>
          <w:lang w:val="zh-CN"/>
        </w:rPr>
      </w:pPr>
    </w:p>
    <w:p w14:paraId="20D4B394">
      <w:pPr>
        <w:spacing w:before="100" w:beforeLines="0" w:after="100" w:afterLines="0"/>
        <w:jc w:val="center"/>
        <w:rPr>
          <w:rFonts w:hint="eastAsia" w:ascii="宋体" w:hAnsi="宋体"/>
          <w:color w:val="auto"/>
          <w:sz w:val="24"/>
          <w:szCs w:val="24"/>
          <w:lang w:val="zh-CN"/>
        </w:rPr>
      </w:pPr>
    </w:p>
    <w:p w14:paraId="37F691A7">
      <w:pPr>
        <w:spacing w:before="100" w:beforeLines="0" w:after="100" w:afterLines="0"/>
        <w:jc w:val="center"/>
        <w:rPr>
          <w:rFonts w:hint="eastAsia" w:ascii="宋体" w:hAnsi="宋体"/>
          <w:color w:val="auto"/>
          <w:sz w:val="24"/>
          <w:szCs w:val="24"/>
          <w:lang w:val="zh-CN"/>
        </w:rPr>
      </w:pPr>
    </w:p>
    <w:p w14:paraId="414F4206">
      <w:pPr>
        <w:spacing w:before="100" w:beforeLines="0" w:after="100" w:afterLines="0"/>
        <w:jc w:val="center"/>
        <w:rPr>
          <w:rFonts w:hint="eastAsia" w:ascii="宋体" w:hAnsi="宋体"/>
          <w:color w:val="auto"/>
          <w:sz w:val="24"/>
          <w:szCs w:val="24"/>
          <w:lang w:val="zh-CN"/>
        </w:rPr>
      </w:pPr>
    </w:p>
    <w:p w14:paraId="7593DA5A">
      <w:pPr>
        <w:spacing w:before="100" w:beforeLines="0" w:after="100" w:afterLines="0"/>
        <w:jc w:val="center"/>
        <w:rPr>
          <w:rFonts w:hint="eastAsia" w:ascii="宋体" w:hAnsi="宋体"/>
          <w:color w:val="auto"/>
          <w:sz w:val="24"/>
          <w:szCs w:val="24"/>
          <w:lang w:val="zh-CN"/>
        </w:rPr>
      </w:pPr>
    </w:p>
    <w:p w14:paraId="6A5E1552">
      <w:pPr>
        <w:spacing w:before="100" w:beforeLines="0" w:after="100" w:afterLines="0"/>
        <w:jc w:val="center"/>
        <w:rPr>
          <w:rFonts w:hint="eastAsia" w:ascii="宋体" w:hAnsi="宋体"/>
          <w:color w:val="auto"/>
          <w:sz w:val="24"/>
          <w:szCs w:val="24"/>
          <w:lang w:val="zh-CN"/>
        </w:rPr>
      </w:pPr>
    </w:p>
    <w:p w14:paraId="55C11E89">
      <w:pPr>
        <w:spacing w:before="100" w:beforeLines="0" w:after="100" w:afterLines="0"/>
        <w:jc w:val="center"/>
        <w:rPr>
          <w:rFonts w:hint="eastAsia" w:ascii="宋体" w:hAnsi="宋体"/>
          <w:color w:val="auto"/>
          <w:sz w:val="24"/>
          <w:szCs w:val="24"/>
          <w:lang w:val="zh-CN"/>
        </w:rPr>
      </w:pPr>
    </w:p>
    <w:p w14:paraId="16DB75D4">
      <w:pPr>
        <w:spacing w:before="100" w:beforeLines="0" w:after="100" w:afterLines="0"/>
        <w:jc w:val="center"/>
        <w:rPr>
          <w:rFonts w:hint="eastAsia" w:ascii="宋体" w:hAnsi="宋体"/>
          <w:b/>
          <w:bCs/>
          <w:color w:val="auto"/>
          <w:sz w:val="48"/>
          <w:szCs w:val="48"/>
          <w:lang w:val="zh-CN"/>
        </w:rPr>
      </w:pPr>
    </w:p>
    <w:p w14:paraId="00AEF211">
      <w:pPr>
        <w:spacing w:before="100" w:beforeLines="0" w:after="100" w:afterLines="0"/>
        <w:jc w:val="center"/>
        <w:rPr>
          <w:rFonts w:hint="eastAsia" w:ascii="宋体" w:hAnsi="宋体"/>
          <w:b/>
          <w:bCs/>
          <w:color w:val="auto"/>
          <w:sz w:val="48"/>
          <w:szCs w:val="48"/>
          <w:lang w:val="zh-CN"/>
        </w:rPr>
      </w:pPr>
      <w:r>
        <w:rPr>
          <w:rFonts w:hint="eastAsia" w:ascii="宋体" w:hAnsi="宋体"/>
          <w:b/>
          <w:bCs/>
          <w:color w:val="auto"/>
          <w:sz w:val="48"/>
          <w:szCs w:val="48"/>
          <w:lang w:val="zh-CN"/>
        </w:rPr>
        <w:t>2023年度</w:t>
      </w:r>
    </w:p>
    <w:p w14:paraId="3F62336F">
      <w:pPr>
        <w:spacing w:before="100" w:beforeLines="0" w:after="100" w:afterLines="0"/>
        <w:jc w:val="center"/>
        <w:rPr>
          <w:rFonts w:hint="eastAsia" w:ascii="宋体" w:hAnsi="宋体"/>
          <w:b/>
          <w:bCs/>
          <w:color w:val="auto"/>
          <w:sz w:val="48"/>
          <w:szCs w:val="48"/>
          <w:lang w:val="zh-CN"/>
        </w:rPr>
      </w:pPr>
      <w:r>
        <w:rPr>
          <w:rFonts w:hint="eastAsia" w:ascii="宋体" w:hAnsi="宋体"/>
          <w:b/>
          <w:bCs/>
          <w:color w:val="auto"/>
          <w:sz w:val="48"/>
          <w:szCs w:val="48"/>
          <w:lang w:val="zh-CN"/>
        </w:rPr>
        <w:t>中共华池县档案局（馆）部门决算</w:t>
      </w:r>
    </w:p>
    <w:p w14:paraId="677C616B">
      <w:pPr>
        <w:spacing w:before="100" w:beforeLines="0" w:after="100" w:afterLines="0"/>
        <w:jc w:val="center"/>
        <w:rPr>
          <w:rFonts w:hint="eastAsia" w:ascii="宋体" w:hAnsi="宋体"/>
          <w:b/>
          <w:bCs/>
          <w:color w:val="auto"/>
          <w:sz w:val="48"/>
          <w:szCs w:val="48"/>
          <w:lang w:val="zh-CN"/>
        </w:rPr>
      </w:pPr>
    </w:p>
    <w:p w14:paraId="01046696">
      <w:pPr>
        <w:spacing w:before="100" w:beforeLines="0" w:after="100" w:afterLines="0"/>
        <w:jc w:val="center"/>
        <w:rPr>
          <w:rFonts w:hint="eastAsia" w:ascii="宋体" w:hAnsi="宋体"/>
          <w:b/>
          <w:bCs/>
          <w:color w:val="auto"/>
          <w:sz w:val="48"/>
          <w:szCs w:val="48"/>
          <w:lang w:val="zh-CN"/>
        </w:rPr>
      </w:pPr>
    </w:p>
    <w:p w14:paraId="275FFE12">
      <w:pPr>
        <w:spacing w:before="100" w:beforeLines="0" w:after="100" w:afterLines="0"/>
        <w:jc w:val="center"/>
        <w:rPr>
          <w:rFonts w:hint="eastAsia" w:ascii="宋体" w:hAnsi="宋体"/>
          <w:b/>
          <w:bCs/>
          <w:color w:val="auto"/>
          <w:sz w:val="48"/>
          <w:szCs w:val="48"/>
          <w:lang w:val="zh-CN"/>
        </w:rPr>
      </w:pPr>
    </w:p>
    <w:p w14:paraId="7E3C2FD3">
      <w:pPr>
        <w:spacing w:before="100" w:beforeLines="0" w:after="100" w:afterLines="0"/>
        <w:jc w:val="center"/>
        <w:rPr>
          <w:rFonts w:hint="eastAsia" w:ascii="宋体" w:hAnsi="宋体"/>
          <w:color w:val="auto"/>
          <w:sz w:val="24"/>
          <w:szCs w:val="24"/>
          <w:lang w:val="zh-CN"/>
        </w:rPr>
      </w:pPr>
    </w:p>
    <w:p w14:paraId="3E71B1F3">
      <w:pPr>
        <w:spacing w:before="100" w:beforeLines="0" w:after="100" w:afterLines="0"/>
        <w:jc w:val="center"/>
        <w:rPr>
          <w:rFonts w:hint="eastAsia" w:ascii="宋体" w:hAnsi="宋体"/>
          <w:color w:val="auto"/>
          <w:sz w:val="24"/>
          <w:szCs w:val="24"/>
          <w:lang w:val="zh-CN"/>
        </w:rPr>
      </w:pPr>
    </w:p>
    <w:p w14:paraId="2E062DF6">
      <w:pPr>
        <w:spacing w:before="100" w:beforeLines="0" w:after="100" w:afterLines="0"/>
        <w:jc w:val="center"/>
        <w:rPr>
          <w:rFonts w:hint="eastAsia" w:ascii="宋体" w:hAnsi="宋体"/>
          <w:color w:val="auto"/>
          <w:sz w:val="24"/>
          <w:szCs w:val="24"/>
          <w:lang w:val="zh-CN"/>
        </w:rPr>
      </w:pPr>
    </w:p>
    <w:p w14:paraId="2E240289">
      <w:pPr>
        <w:spacing w:before="100" w:beforeLines="0" w:after="100" w:afterLines="0"/>
        <w:jc w:val="center"/>
        <w:rPr>
          <w:rFonts w:hint="eastAsia" w:ascii="宋体" w:hAnsi="宋体"/>
          <w:color w:val="auto"/>
          <w:sz w:val="24"/>
          <w:szCs w:val="24"/>
          <w:lang w:val="zh-CN"/>
        </w:rPr>
      </w:pPr>
    </w:p>
    <w:p w14:paraId="734E8350">
      <w:pPr>
        <w:spacing w:before="100" w:beforeLines="0" w:after="100" w:afterLines="0"/>
        <w:jc w:val="center"/>
        <w:rPr>
          <w:rFonts w:hint="eastAsia" w:ascii="宋体" w:hAnsi="宋体"/>
          <w:color w:val="auto"/>
          <w:sz w:val="24"/>
          <w:szCs w:val="24"/>
          <w:lang w:val="zh-CN"/>
        </w:rPr>
      </w:pPr>
    </w:p>
    <w:p w14:paraId="11305BED">
      <w:pPr>
        <w:spacing w:before="100" w:beforeLines="0" w:after="100" w:afterLines="0"/>
        <w:jc w:val="center"/>
        <w:rPr>
          <w:rFonts w:hint="eastAsia" w:ascii="宋体" w:hAnsi="宋体"/>
          <w:color w:val="auto"/>
          <w:sz w:val="24"/>
          <w:szCs w:val="24"/>
          <w:lang w:val="zh-CN"/>
        </w:rPr>
      </w:pPr>
    </w:p>
    <w:p w14:paraId="0DA8A1C8">
      <w:pPr>
        <w:spacing w:before="100" w:beforeLines="0" w:after="100" w:afterLines="0"/>
        <w:jc w:val="center"/>
        <w:rPr>
          <w:rFonts w:hint="eastAsia" w:ascii="宋体" w:hAnsi="宋体"/>
          <w:color w:val="auto"/>
          <w:sz w:val="24"/>
          <w:szCs w:val="24"/>
          <w:lang w:val="zh-CN"/>
        </w:rPr>
      </w:pPr>
    </w:p>
    <w:p w14:paraId="47117E88">
      <w:pPr>
        <w:spacing w:before="100" w:beforeLines="0" w:after="100" w:afterLines="0"/>
        <w:jc w:val="center"/>
        <w:rPr>
          <w:rFonts w:hint="eastAsia" w:ascii="宋体" w:hAnsi="宋体"/>
          <w:color w:val="auto"/>
          <w:sz w:val="24"/>
          <w:szCs w:val="24"/>
          <w:lang w:val="zh-CN"/>
        </w:rPr>
      </w:pPr>
    </w:p>
    <w:p w14:paraId="716372FF">
      <w:pPr>
        <w:spacing w:before="100" w:beforeLines="0" w:after="100" w:afterLines="0"/>
        <w:jc w:val="center"/>
        <w:rPr>
          <w:rFonts w:hint="eastAsia" w:ascii="宋体" w:hAnsi="宋体"/>
          <w:color w:val="auto"/>
          <w:sz w:val="24"/>
          <w:szCs w:val="24"/>
          <w:lang w:val="zh-CN"/>
        </w:rPr>
      </w:pPr>
    </w:p>
    <w:p w14:paraId="1AA6D1E8">
      <w:pPr>
        <w:spacing w:before="100" w:beforeLines="0" w:after="100" w:afterLines="0"/>
        <w:jc w:val="center"/>
        <w:rPr>
          <w:rFonts w:hint="eastAsia" w:ascii="宋体" w:hAnsi="宋体"/>
          <w:color w:val="auto"/>
          <w:sz w:val="24"/>
          <w:szCs w:val="24"/>
          <w:lang w:val="zh-CN"/>
        </w:rPr>
      </w:pPr>
    </w:p>
    <w:p w14:paraId="5ECC03C9">
      <w:pPr>
        <w:spacing w:before="100" w:beforeLines="0" w:after="100" w:afterLines="0"/>
        <w:jc w:val="center"/>
        <w:rPr>
          <w:rFonts w:hint="eastAsia" w:ascii="宋体" w:hAnsi="宋体"/>
          <w:color w:val="auto"/>
          <w:sz w:val="24"/>
          <w:szCs w:val="24"/>
          <w:lang w:val="zh-CN"/>
        </w:rPr>
      </w:pPr>
    </w:p>
    <w:p w14:paraId="2D65EC21">
      <w:pPr>
        <w:spacing w:before="100" w:beforeLines="0" w:after="100" w:afterLines="0"/>
        <w:jc w:val="center"/>
        <w:rPr>
          <w:rFonts w:hint="eastAsia" w:ascii="宋体" w:hAnsi="宋体"/>
          <w:color w:val="auto"/>
          <w:sz w:val="24"/>
          <w:szCs w:val="24"/>
          <w:lang w:val="zh-CN"/>
        </w:rPr>
      </w:pPr>
    </w:p>
    <w:p w14:paraId="516FF7AF">
      <w:pPr>
        <w:spacing w:before="100" w:beforeLines="0" w:after="100" w:afterLines="0"/>
        <w:jc w:val="center"/>
        <w:rPr>
          <w:rFonts w:hint="eastAsia" w:ascii="宋体" w:hAnsi="宋体"/>
          <w:color w:val="auto"/>
          <w:sz w:val="24"/>
          <w:szCs w:val="24"/>
          <w:lang w:val="zh-CN"/>
        </w:rPr>
      </w:pPr>
    </w:p>
    <w:p w14:paraId="5B7659C5">
      <w:pPr>
        <w:spacing w:before="100" w:beforeLines="0" w:after="100" w:afterLines="0"/>
        <w:jc w:val="center"/>
        <w:rPr>
          <w:rFonts w:hint="eastAsia" w:ascii="宋体" w:hAnsi="宋体"/>
          <w:color w:val="auto"/>
          <w:sz w:val="24"/>
          <w:szCs w:val="24"/>
          <w:lang w:val="zh-CN"/>
        </w:rPr>
      </w:pPr>
    </w:p>
    <w:p w14:paraId="0538D777">
      <w:pPr>
        <w:spacing w:before="100" w:beforeLines="0" w:after="100" w:afterLines="0"/>
        <w:jc w:val="center"/>
        <w:rPr>
          <w:rFonts w:hint="eastAsia" w:ascii="宋体" w:hAnsi="宋体"/>
          <w:color w:val="auto"/>
          <w:sz w:val="24"/>
          <w:szCs w:val="24"/>
          <w:lang w:val="zh-CN"/>
        </w:rPr>
      </w:pPr>
    </w:p>
    <w:p w14:paraId="31DD8B5D">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目录</w:t>
      </w:r>
    </w:p>
    <w:p w14:paraId="3F9BA8FA">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第一部分部门概况</w:t>
      </w:r>
    </w:p>
    <w:p w14:paraId="466111B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14:paraId="7DBB351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02F3DE0F">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22421AA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475E054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2312644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66D81DF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65D2688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31C9A72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351F4E6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396255D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5B8D6A1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516D6427">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518411B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一、收入支出决算总体情况说明</w:t>
      </w:r>
    </w:p>
    <w:p w14:paraId="1DDC11F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二、收入决算情况说明</w:t>
      </w:r>
    </w:p>
    <w:p w14:paraId="0F26BA2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三、支出决算情况说明</w:t>
      </w:r>
    </w:p>
    <w:p w14:paraId="2F34970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四、财政拨款收入支出决算总体情况说明</w:t>
      </w:r>
    </w:p>
    <w:p w14:paraId="511424C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五、一般公共预算财政拨款支出决算情况说明</w:t>
      </w:r>
    </w:p>
    <w:p w14:paraId="301EDC0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六、一般公共预算财政拨款基本支出决算情况说明</w:t>
      </w:r>
    </w:p>
    <w:p w14:paraId="2F4EFC52">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七、政府性基金预算财政拨款收支决算情况说明</w:t>
      </w:r>
    </w:p>
    <w:p w14:paraId="66B78D0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八、国有资本经营预算财政拨款支出情况说明</w:t>
      </w:r>
    </w:p>
    <w:p w14:paraId="5A20BBCA">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经费支出决算情况说明</w:t>
      </w:r>
    </w:p>
    <w:p w14:paraId="392E8AD2">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十、机关运行经费支出情况说明</w:t>
      </w:r>
    </w:p>
    <w:p w14:paraId="367F959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十一、政府采购支出情况说明</w:t>
      </w:r>
    </w:p>
    <w:p w14:paraId="4F9BB24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十二、国有资产占用情况说明</w:t>
      </w:r>
    </w:p>
    <w:p w14:paraId="20A6B99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十三、其他需要说明的情况</w:t>
      </w:r>
    </w:p>
    <w:p w14:paraId="44360C84">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第四部分预算绩效情况说明</w:t>
      </w:r>
    </w:p>
    <w:p w14:paraId="2C3BB8BB">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第五部分名词解释</w:t>
      </w:r>
    </w:p>
    <w:p w14:paraId="0DE8083A">
      <w:pPr>
        <w:spacing w:before="100" w:beforeLines="0" w:after="100" w:afterLines="0"/>
        <w:jc w:val="center"/>
        <w:rPr>
          <w:rFonts w:hint="eastAsia" w:ascii="宋体" w:hAnsi="宋体"/>
          <w:color w:val="auto"/>
          <w:sz w:val="24"/>
          <w:szCs w:val="24"/>
          <w:lang w:val="zh-CN"/>
        </w:rPr>
      </w:pPr>
    </w:p>
    <w:p w14:paraId="6AD9E9BB">
      <w:pPr>
        <w:spacing w:before="100" w:beforeLines="0" w:after="100" w:afterLines="0"/>
        <w:jc w:val="center"/>
        <w:rPr>
          <w:rFonts w:hint="eastAsia" w:ascii="宋体" w:hAnsi="宋体"/>
          <w:color w:val="auto"/>
          <w:sz w:val="24"/>
          <w:szCs w:val="24"/>
          <w:lang w:val="zh-CN"/>
        </w:rPr>
      </w:pPr>
    </w:p>
    <w:p w14:paraId="5E08BFB7">
      <w:pPr>
        <w:spacing w:before="100" w:beforeLines="0" w:after="100" w:afterLines="0"/>
        <w:jc w:val="center"/>
        <w:rPr>
          <w:rFonts w:hint="eastAsia" w:ascii="宋体" w:hAnsi="宋体"/>
          <w:color w:val="auto"/>
          <w:sz w:val="24"/>
          <w:szCs w:val="24"/>
          <w:lang w:val="zh-CN"/>
        </w:rPr>
      </w:pPr>
    </w:p>
    <w:p w14:paraId="1FCD23F9">
      <w:pPr>
        <w:spacing w:before="100" w:beforeLines="0" w:after="100" w:afterLines="0"/>
        <w:jc w:val="center"/>
        <w:rPr>
          <w:rFonts w:hint="eastAsia" w:ascii="宋体" w:hAnsi="宋体"/>
          <w:color w:val="auto"/>
          <w:sz w:val="24"/>
          <w:szCs w:val="24"/>
          <w:lang w:val="zh-CN"/>
        </w:rPr>
      </w:pPr>
    </w:p>
    <w:p w14:paraId="451B0F0D">
      <w:pPr>
        <w:spacing w:before="100" w:beforeLines="0" w:after="100" w:afterLines="0"/>
        <w:jc w:val="center"/>
        <w:rPr>
          <w:rFonts w:hint="eastAsia" w:ascii="宋体" w:hAnsi="宋体"/>
          <w:color w:val="auto"/>
          <w:sz w:val="24"/>
          <w:szCs w:val="24"/>
          <w:lang w:val="zh-CN"/>
        </w:rPr>
      </w:pPr>
    </w:p>
    <w:p w14:paraId="385EF865">
      <w:pPr>
        <w:spacing w:before="100" w:beforeLines="0" w:after="100" w:afterLines="0"/>
        <w:jc w:val="center"/>
        <w:rPr>
          <w:rFonts w:hint="eastAsia" w:ascii="宋体" w:hAnsi="宋体"/>
          <w:color w:val="auto"/>
          <w:sz w:val="24"/>
          <w:szCs w:val="24"/>
          <w:lang w:val="zh-CN"/>
        </w:rPr>
      </w:pPr>
    </w:p>
    <w:p w14:paraId="34F4831E">
      <w:pPr>
        <w:spacing w:before="100" w:beforeLines="0" w:after="100" w:afterLines="0"/>
        <w:jc w:val="center"/>
        <w:rPr>
          <w:rFonts w:hint="eastAsia" w:ascii="宋体" w:hAnsi="宋体"/>
          <w:color w:val="auto"/>
          <w:sz w:val="24"/>
          <w:szCs w:val="24"/>
          <w:lang w:val="zh-CN"/>
        </w:rPr>
      </w:pPr>
    </w:p>
    <w:p w14:paraId="604C99AE">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第一部分部门概况</w:t>
      </w:r>
    </w:p>
    <w:p w14:paraId="4149B47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一、部门职责</w:t>
      </w:r>
    </w:p>
    <w:p w14:paraId="23F0703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①、</w:t>
      </w:r>
      <w:r>
        <w:rPr>
          <w:rFonts w:hint="eastAsia" w:ascii="宋体" w:hAnsi="宋体"/>
          <w:color w:val="auto"/>
          <w:sz w:val="24"/>
          <w:szCs w:val="24"/>
          <w:lang w:val="zh-CN" w:eastAsia="zh-CN"/>
        </w:rPr>
        <w:t>收集和接收本馆保管范围内对国家和社会有保存价值的档案；</w:t>
      </w:r>
      <w:r>
        <w:rPr>
          <w:rFonts w:hint="eastAsia" w:ascii="宋体" w:hAnsi="宋体"/>
          <w:color w:val="auto"/>
          <w:sz w:val="24"/>
          <w:szCs w:val="24"/>
          <w:lang w:val="zh-CN"/>
        </w:rPr>
        <w:t>②、</w:t>
      </w:r>
      <w:r>
        <w:rPr>
          <w:rFonts w:hint="eastAsia" w:ascii="宋体" w:hAnsi="宋体"/>
          <w:color w:val="auto"/>
          <w:sz w:val="24"/>
          <w:szCs w:val="24"/>
          <w:lang w:val="zh-CN" w:eastAsia="zh-CN"/>
        </w:rPr>
        <w:t>对所保存的档案严格按照规定整理和保管；</w:t>
      </w:r>
      <w:r>
        <w:rPr>
          <w:rFonts w:hint="eastAsia" w:ascii="宋体" w:hAnsi="宋体"/>
          <w:color w:val="auto"/>
          <w:sz w:val="24"/>
          <w:szCs w:val="24"/>
          <w:lang w:val="zh-CN"/>
        </w:rPr>
        <w:t>③、</w:t>
      </w:r>
      <w:r>
        <w:rPr>
          <w:rFonts w:hint="eastAsia" w:ascii="宋体" w:hAnsi="宋体"/>
          <w:color w:val="auto"/>
          <w:sz w:val="24"/>
          <w:szCs w:val="24"/>
          <w:lang w:val="zh-CN" w:eastAsia="zh-CN"/>
        </w:rPr>
        <w:t>采取各种形式开发档案资源；</w:t>
      </w:r>
      <w:r>
        <w:rPr>
          <w:rFonts w:hint="eastAsia" w:ascii="宋体" w:hAnsi="宋体"/>
          <w:color w:val="auto"/>
          <w:sz w:val="24"/>
          <w:szCs w:val="24"/>
          <w:lang w:val="zh-CN"/>
        </w:rPr>
        <w:t>④、</w:t>
      </w:r>
      <w:r>
        <w:rPr>
          <w:rFonts w:hint="eastAsia" w:ascii="宋体" w:hAnsi="宋体"/>
          <w:color w:val="auto"/>
          <w:sz w:val="24"/>
          <w:szCs w:val="24"/>
          <w:lang w:val="zh-CN" w:eastAsia="zh-CN"/>
        </w:rPr>
        <w:t>为社会利用档案资源提供服务；</w:t>
      </w:r>
      <w:r>
        <w:rPr>
          <w:rFonts w:hint="eastAsia" w:ascii="宋体" w:hAnsi="宋体"/>
          <w:color w:val="auto"/>
          <w:sz w:val="24"/>
          <w:szCs w:val="24"/>
          <w:lang w:val="zh-CN"/>
        </w:rPr>
        <w:t>⑤、完成</w:t>
      </w:r>
      <w:r>
        <w:rPr>
          <w:rFonts w:hint="eastAsia" w:ascii="宋体" w:hAnsi="宋体"/>
          <w:color w:val="auto"/>
          <w:sz w:val="24"/>
          <w:szCs w:val="24"/>
          <w:lang w:val="zh-CN" w:eastAsia="zh-CN"/>
        </w:rPr>
        <w:t>县委、</w:t>
      </w:r>
      <w:r>
        <w:rPr>
          <w:rFonts w:hint="eastAsia" w:ascii="宋体" w:hAnsi="宋体"/>
          <w:color w:val="auto"/>
          <w:sz w:val="24"/>
          <w:szCs w:val="24"/>
          <w:lang w:val="zh-CN"/>
        </w:rPr>
        <w:t>县政府</w:t>
      </w:r>
      <w:r>
        <w:rPr>
          <w:rFonts w:hint="eastAsia" w:ascii="宋体" w:hAnsi="宋体"/>
          <w:color w:val="auto"/>
          <w:sz w:val="24"/>
          <w:szCs w:val="24"/>
          <w:lang w:val="zh-CN" w:eastAsia="zh-CN"/>
        </w:rPr>
        <w:t>及上级业务部门</w:t>
      </w:r>
      <w:r>
        <w:rPr>
          <w:rFonts w:hint="eastAsia" w:ascii="宋体" w:hAnsi="宋体"/>
          <w:color w:val="auto"/>
          <w:sz w:val="24"/>
          <w:szCs w:val="24"/>
          <w:lang w:val="zh-CN"/>
        </w:rPr>
        <w:t>交办的其他事项。</w:t>
      </w:r>
    </w:p>
    <w:p w14:paraId="688E039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76EA877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人员情况。编制数</w:t>
      </w:r>
      <w:r>
        <w:rPr>
          <w:rFonts w:hint="eastAsia" w:ascii="宋体" w:hAnsi="宋体"/>
          <w:color w:val="auto"/>
          <w:sz w:val="24"/>
          <w:szCs w:val="24"/>
          <w:lang w:val="en-US" w:eastAsia="zh-CN"/>
        </w:rPr>
        <w:t>6</w:t>
      </w:r>
      <w:r>
        <w:rPr>
          <w:rFonts w:hint="eastAsia" w:ascii="宋体" w:hAnsi="宋体"/>
          <w:color w:val="auto"/>
          <w:sz w:val="24"/>
          <w:szCs w:val="24"/>
          <w:lang w:val="zh-CN"/>
        </w:rPr>
        <w:t>人，财政供养总人数</w:t>
      </w:r>
      <w:r>
        <w:rPr>
          <w:rFonts w:hint="eastAsia" w:ascii="宋体" w:hAnsi="宋体"/>
          <w:color w:val="auto"/>
          <w:sz w:val="24"/>
          <w:szCs w:val="24"/>
          <w:lang w:val="en-US" w:eastAsia="zh-CN"/>
        </w:rPr>
        <w:t>11</w:t>
      </w:r>
      <w:r>
        <w:rPr>
          <w:rFonts w:hint="eastAsia" w:ascii="宋体" w:hAnsi="宋体"/>
          <w:color w:val="auto"/>
          <w:sz w:val="24"/>
          <w:szCs w:val="24"/>
          <w:lang w:val="zh-CN"/>
        </w:rPr>
        <w:t>人，</w:t>
      </w:r>
      <w:r>
        <w:rPr>
          <w:rFonts w:hint="eastAsia" w:ascii="宋体" w:hAnsi="宋体"/>
          <w:color w:val="auto"/>
          <w:sz w:val="24"/>
          <w:szCs w:val="24"/>
          <w:lang w:val="en-US" w:eastAsia="zh-CN"/>
        </w:rPr>
        <w:t>其中：正科1人，副科1人，副主任科员2人，科员4人，</w:t>
      </w:r>
      <w:r>
        <w:rPr>
          <w:rFonts w:hint="eastAsia" w:ascii="宋体" w:hAnsi="宋体"/>
          <w:color w:val="auto"/>
          <w:sz w:val="24"/>
          <w:szCs w:val="24"/>
          <w:lang w:val="zh-CN"/>
        </w:rPr>
        <w:t>雇佣人员</w:t>
      </w:r>
      <w:r>
        <w:rPr>
          <w:rFonts w:hint="eastAsia" w:ascii="宋体" w:hAnsi="宋体"/>
          <w:color w:val="auto"/>
          <w:sz w:val="24"/>
          <w:szCs w:val="24"/>
          <w:lang w:val="en-US" w:eastAsia="zh-CN"/>
        </w:rPr>
        <w:t>1</w:t>
      </w:r>
      <w:r>
        <w:rPr>
          <w:rFonts w:hint="eastAsia" w:ascii="宋体" w:hAnsi="宋体"/>
          <w:color w:val="auto"/>
          <w:sz w:val="24"/>
          <w:szCs w:val="24"/>
          <w:lang w:val="zh-CN"/>
        </w:rPr>
        <w:t>人，遗属</w:t>
      </w:r>
      <w:r>
        <w:rPr>
          <w:rFonts w:hint="eastAsia" w:ascii="宋体" w:hAnsi="宋体"/>
          <w:color w:val="auto"/>
          <w:sz w:val="24"/>
          <w:szCs w:val="24"/>
          <w:lang w:val="en-US" w:eastAsia="zh-CN"/>
        </w:rPr>
        <w:t>2</w:t>
      </w:r>
      <w:r>
        <w:rPr>
          <w:rFonts w:hint="eastAsia" w:ascii="宋体" w:hAnsi="宋体"/>
          <w:color w:val="auto"/>
          <w:sz w:val="24"/>
          <w:szCs w:val="24"/>
          <w:lang w:val="zh-CN"/>
        </w:rPr>
        <w:t>人。</w:t>
      </w:r>
    </w:p>
    <w:p w14:paraId="5FBF6FE3">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76D7112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p>
    <w:p w14:paraId="72E226E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p>
    <w:p w14:paraId="483F273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p>
    <w:p w14:paraId="3D81259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p>
    <w:p w14:paraId="1634103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p>
    <w:p w14:paraId="51EA812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p>
    <w:p w14:paraId="350BD85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p>
    <w:p w14:paraId="2808199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p>
    <w:p w14:paraId="0F0E78D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p>
    <w:p w14:paraId="415BA1C2">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4CAD78B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7C59BD09">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169.31万元。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增加8.28万元,增长5.14%,主要原因是专项经费</w:t>
      </w:r>
      <w:r>
        <w:rPr>
          <w:rFonts w:hint="eastAsia" w:ascii="宋体" w:hAnsi="宋体"/>
          <w:color w:val="auto"/>
          <w:sz w:val="24"/>
          <w:szCs w:val="24"/>
          <w:lang w:val="en-US" w:eastAsia="zh-CN"/>
        </w:rPr>
        <w:t>增加</w:t>
      </w:r>
      <w:r>
        <w:rPr>
          <w:rFonts w:hint="eastAsia" w:ascii="宋体" w:hAnsi="宋体"/>
          <w:color w:val="auto"/>
          <w:sz w:val="24"/>
          <w:szCs w:val="24"/>
          <w:lang w:val="zh-CN"/>
        </w:rPr>
        <w:t>，支出相应</w:t>
      </w:r>
      <w:r>
        <w:rPr>
          <w:rFonts w:hint="eastAsia" w:ascii="宋体" w:hAnsi="宋体"/>
          <w:color w:val="auto"/>
          <w:sz w:val="24"/>
          <w:szCs w:val="24"/>
          <w:lang w:val="en-US" w:eastAsia="zh-CN"/>
        </w:rPr>
        <w:t>增加。</w:t>
      </w:r>
    </w:p>
    <w:p w14:paraId="7C20DD6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13C8903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2023年度收入合计169.31万元,其中：财政拨款收入169.31万元,占100.00%；</w:t>
      </w:r>
    </w:p>
    <w:p w14:paraId="7E3EA7BB">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205A8D2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2023年度支出合计169.31万元,其中：基本支出117.71万元,占69.52%；项目支出51.61万元,占30.48%；上缴上级支出0.00万元,占0.00%；经营支出0.00万元,占0.00%；对附属单位补助支出0.00万元,占0.00%。</w:t>
      </w:r>
    </w:p>
    <w:p w14:paraId="56F4DB7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170CB831">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169.31万元。与</w:t>
      </w:r>
      <w:r>
        <w:rPr>
          <w:rFonts w:hint="eastAsia" w:ascii="宋体" w:hAnsi="宋体"/>
          <w:color w:val="auto"/>
          <w:sz w:val="24"/>
          <w:szCs w:val="24"/>
          <w:lang w:val="en-US"/>
        </w:rPr>
        <w:t>上</w:t>
      </w:r>
      <w:r>
        <w:rPr>
          <w:rFonts w:hint="eastAsia" w:ascii="宋体" w:hAnsi="宋体"/>
          <w:color w:val="auto"/>
          <w:sz w:val="24"/>
          <w:szCs w:val="24"/>
          <w:lang w:val="zh-CN"/>
        </w:rPr>
        <w:t>年相比,各增加8.27万元,增长5.14%。主要原因是专项经费</w:t>
      </w:r>
      <w:r>
        <w:rPr>
          <w:rFonts w:hint="eastAsia" w:ascii="宋体" w:hAnsi="宋体"/>
          <w:color w:val="auto"/>
          <w:sz w:val="24"/>
          <w:szCs w:val="24"/>
          <w:lang w:val="en-US" w:eastAsia="zh-CN"/>
        </w:rPr>
        <w:t>增加</w:t>
      </w:r>
      <w:r>
        <w:rPr>
          <w:rFonts w:hint="eastAsia" w:ascii="宋体" w:hAnsi="宋体"/>
          <w:color w:val="auto"/>
          <w:sz w:val="24"/>
          <w:szCs w:val="24"/>
          <w:lang w:val="zh-CN"/>
        </w:rPr>
        <w:t>，支出相应</w:t>
      </w:r>
      <w:r>
        <w:rPr>
          <w:rFonts w:hint="eastAsia" w:ascii="宋体" w:hAnsi="宋体"/>
          <w:color w:val="auto"/>
          <w:sz w:val="24"/>
          <w:szCs w:val="24"/>
          <w:lang w:val="en-US" w:eastAsia="zh-CN"/>
        </w:rPr>
        <w:t>增加</w:t>
      </w:r>
      <w:r>
        <w:rPr>
          <w:rFonts w:hint="eastAsia" w:ascii="宋体" w:hAnsi="宋体"/>
          <w:color w:val="auto"/>
          <w:sz w:val="24"/>
          <w:szCs w:val="24"/>
          <w:lang w:val="zh-CN"/>
        </w:rPr>
        <w:t>。</w:t>
      </w:r>
    </w:p>
    <w:p w14:paraId="7E7591D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58229B0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0535E1D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2023年度一般公共预算财政拨款支出169.31万元,较上年决算数增加39.31万元,增长30.24%。主要原因是专项经费</w:t>
      </w:r>
      <w:r>
        <w:rPr>
          <w:rFonts w:hint="eastAsia" w:ascii="宋体" w:hAnsi="宋体"/>
          <w:color w:val="auto"/>
          <w:sz w:val="24"/>
          <w:szCs w:val="24"/>
          <w:lang w:val="en-US" w:eastAsia="zh-CN"/>
        </w:rPr>
        <w:t>增加</w:t>
      </w:r>
      <w:r>
        <w:rPr>
          <w:rFonts w:hint="eastAsia" w:ascii="宋体" w:hAnsi="宋体"/>
          <w:color w:val="auto"/>
          <w:sz w:val="24"/>
          <w:szCs w:val="24"/>
          <w:lang w:val="zh-CN"/>
        </w:rPr>
        <w:t>，支出相应</w:t>
      </w:r>
      <w:r>
        <w:rPr>
          <w:rFonts w:hint="eastAsia" w:ascii="宋体" w:hAnsi="宋体"/>
          <w:color w:val="auto"/>
          <w:sz w:val="24"/>
          <w:szCs w:val="24"/>
          <w:lang w:val="en-US" w:eastAsia="zh-CN"/>
        </w:rPr>
        <w:t>增加。</w:t>
      </w:r>
    </w:p>
    <w:p w14:paraId="4AA2FED9">
      <w:pPr>
        <w:numPr>
          <w:ilvl w:val="0"/>
          <w:numId w:val="1"/>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一般公共预算财政拨款支出决算结构情况</w:t>
      </w:r>
    </w:p>
    <w:p w14:paraId="33D6E687">
      <w:pPr>
        <w:numPr>
          <w:ilvl w:val="0"/>
          <w:numId w:val="0"/>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w:t>
      </w:r>
      <w:r>
        <w:rPr>
          <w:rFonts w:hint="eastAsia" w:ascii="宋体" w:hAnsi="宋体"/>
          <w:color w:val="auto"/>
          <w:sz w:val="24"/>
          <w:szCs w:val="24"/>
          <w:lang w:val="zh-CN"/>
        </w:rPr>
        <w:t>169.31万元，主要用于以下方面：一般公共服务支出147.36万元,占87.03%；教育支出5.70万元,占3.37%；社会保障和就业支出11.47万元,占6.77%；卫生健康支出4.79万元,占2.83%；</w:t>
      </w:r>
    </w:p>
    <w:p w14:paraId="6395381A">
      <w:pPr>
        <w:numPr>
          <w:ilvl w:val="0"/>
          <w:numId w:val="1"/>
        </w:numPr>
        <w:spacing w:before="100" w:beforeLines="0" w:after="100" w:afterLines="0"/>
        <w:ind w:left="0" w:leftChars="0" w:firstLine="0" w:firstLineChars="0"/>
        <w:jc w:val="left"/>
        <w:rPr>
          <w:rFonts w:hint="eastAsia" w:ascii="宋体" w:hAnsi="宋体"/>
          <w:color w:val="auto"/>
          <w:sz w:val="24"/>
          <w:szCs w:val="24"/>
          <w:lang w:val="zh-CN"/>
        </w:rPr>
      </w:pPr>
      <w:r>
        <w:rPr>
          <w:rFonts w:hint="eastAsia" w:ascii="宋体" w:hAnsi="宋体"/>
          <w:color w:val="auto"/>
          <w:sz w:val="24"/>
          <w:szCs w:val="24"/>
          <w:lang w:val="zh-CN"/>
        </w:rPr>
        <w:t>一般公共预算财政拨款支出决算具体情况。</w:t>
      </w:r>
    </w:p>
    <w:p w14:paraId="361C6CB8">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auto"/>
          <w:sz w:val="24"/>
          <w:szCs w:val="24"/>
          <w:lang w:val="en-US" w:eastAsia="zh-CN"/>
        </w:rPr>
        <w:t>2023年度一般公共预算财政拨款支出年初预算为</w:t>
      </w:r>
      <w:r>
        <w:rPr>
          <w:rFonts w:hint="eastAsia" w:ascii="宋体" w:hAnsi="宋体"/>
          <w:color w:val="auto"/>
          <w:sz w:val="24"/>
          <w:szCs w:val="24"/>
          <w:lang w:val="zh-CN"/>
        </w:rPr>
        <w:t>128.04万元,支出决算为169.31万元,完成年初预算的132.23%。其中：</w:t>
      </w:r>
    </w:p>
    <w:p w14:paraId="2186483A">
      <w:pPr>
        <w:numPr>
          <w:ilvl w:val="0"/>
          <w:numId w:val="2"/>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年初预算数为112.06万元,支出决算为147.36万元,完成年初预算的131.5%,决算数大于预算数的主要原因是经费增加，支出增加。</w:t>
      </w:r>
    </w:p>
    <w:p w14:paraId="6EB01AC7">
      <w:pPr>
        <w:numPr>
          <w:ilvl w:val="0"/>
          <w:numId w:val="2"/>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教育支出年初预算数为0.00万元,支出决算为5.70万元,完成年初预算的</w:t>
      </w:r>
      <w:r>
        <w:rPr>
          <w:rFonts w:hint="eastAsia" w:ascii="宋体" w:hAnsi="宋体"/>
          <w:color w:val="auto"/>
          <w:sz w:val="24"/>
          <w:szCs w:val="24"/>
          <w:lang w:val="en-US" w:eastAsia="zh-CN"/>
        </w:rPr>
        <w:t>100</w:t>
      </w:r>
      <w:r>
        <w:rPr>
          <w:rFonts w:hint="eastAsia" w:ascii="宋体" w:hAnsi="宋体"/>
          <w:color w:val="auto"/>
          <w:sz w:val="24"/>
          <w:szCs w:val="24"/>
          <w:lang w:val="zh-CN"/>
        </w:rPr>
        <w:t>%,决算数大于预算数的主要原因是</w:t>
      </w:r>
      <w:r>
        <w:rPr>
          <w:rFonts w:hint="eastAsia" w:ascii="宋体" w:hAnsi="宋体"/>
          <w:color w:val="auto"/>
          <w:sz w:val="24"/>
          <w:szCs w:val="24"/>
          <w:lang w:val="en-US" w:eastAsia="zh-CN"/>
        </w:rPr>
        <w:t>增加项目，支出增加</w:t>
      </w:r>
      <w:r>
        <w:rPr>
          <w:rFonts w:hint="eastAsia" w:ascii="宋体" w:hAnsi="宋体"/>
          <w:color w:val="auto"/>
          <w:sz w:val="24"/>
          <w:szCs w:val="24"/>
          <w:lang w:val="zh-CN"/>
        </w:rPr>
        <w:t>。</w:t>
      </w:r>
    </w:p>
    <w:p w14:paraId="50336026">
      <w:pPr>
        <w:numPr>
          <w:ilvl w:val="0"/>
          <w:numId w:val="2"/>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社会保障和就业支出年初预算数为11.41万元,支出决算为11.47万元,完成年初预算的100.53%,决算数大于预算数的主要原因是在职人员调整调动。</w:t>
      </w:r>
    </w:p>
    <w:p w14:paraId="57D7C107">
      <w:pPr>
        <w:numPr>
          <w:ilvl w:val="0"/>
          <w:numId w:val="2"/>
        </w:num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卫生健康支出年初预算数为4.58万元,支出决算为4.79万元,完成年初预算的104.65%,决算数大于预算数的主要原因是决算数大于预算数的在职人员调整调动。。</w:t>
      </w:r>
    </w:p>
    <w:p w14:paraId="1472A97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66202A8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2023年度一般公共预算财政拨款基本支出117.71万元。其中：</w:t>
      </w:r>
    </w:p>
    <w:p w14:paraId="19C5F811">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109.30万元,较上年决算数增加13.91万元,增长14.58%,主要原因是在职人员调整调动；人员经费用途主要包括基本工资、津贴补贴、奖金、社会保障缴费。</w:t>
      </w:r>
      <w:r>
        <w:rPr>
          <w:rFonts w:hint="eastAsia" w:ascii="宋体" w:hAnsi="宋体"/>
          <w:b/>
          <w:color w:val="auto"/>
          <w:sz w:val="24"/>
          <w:szCs w:val="24"/>
          <w:lang w:val="zh-CN"/>
        </w:rPr>
        <w:t>公用经费</w:t>
      </w:r>
      <w:r>
        <w:rPr>
          <w:rFonts w:hint="eastAsia" w:ascii="宋体" w:hAnsi="宋体"/>
          <w:color w:val="auto"/>
          <w:sz w:val="24"/>
          <w:szCs w:val="24"/>
          <w:lang w:val="zh-CN"/>
        </w:rPr>
        <w:t>8.41万元,较上年决算数减少26.2万元,下降75.7%,主要原因是经费精简，支出减少。公用经费用途主要包括办公费、印刷费、水费、取暖费、差旅费、维修费。</w:t>
      </w:r>
    </w:p>
    <w:p w14:paraId="17688B6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234218C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2023年度无政府性基金收入,也没有使用政府性基金安排的支出。</w:t>
      </w:r>
    </w:p>
    <w:p w14:paraId="2EE36006">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2B6C764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w:t>
      </w:r>
      <w:r>
        <w:rPr>
          <w:rFonts w:hint="eastAsia" w:ascii="宋体" w:hAnsi="宋体"/>
          <w:color w:val="auto"/>
          <w:sz w:val="24"/>
          <w:szCs w:val="24"/>
          <w:lang w:val="en-US" w:eastAsia="zh-CN"/>
        </w:rPr>
        <w:t>单位</w:t>
      </w:r>
      <w:r>
        <w:rPr>
          <w:rFonts w:hint="eastAsia" w:ascii="宋体" w:hAnsi="宋体"/>
          <w:color w:val="auto"/>
          <w:sz w:val="24"/>
          <w:szCs w:val="24"/>
          <w:lang w:val="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年度没有使用国有资本经营预算安排的支出。</w:t>
      </w:r>
    </w:p>
    <w:p w14:paraId="3DD8CEB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57AD972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我单位属于公益性事业单位,财政未保障我单位</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7A96BBE9">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4E30394D">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6020F35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708D10ED">
      <w:pPr>
        <w:spacing w:before="100" w:beforeLines="0" w:after="100" w:afterLines="0"/>
        <w:jc w:val="left"/>
        <w:rPr>
          <w:rFonts w:hint="default" w:ascii="宋体" w:hAnsi="宋体" w:eastAsia="宋体"/>
          <w:color w:val="auto"/>
          <w:sz w:val="24"/>
          <w:szCs w:val="24"/>
          <w:lang w:val="en-US" w:eastAsia="zh-CN"/>
        </w:rPr>
      </w:pPr>
      <w:r>
        <w:rPr>
          <w:rFonts w:hint="eastAsia" w:ascii="宋体" w:hAnsi="宋体"/>
          <w:color w:val="auto"/>
          <w:sz w:val="24"/>
          <w:szCs w:val="24"/>
          <w:lang w:val="zh-CN"/>
        </w:rPr>
        <w:t>2023年度本部门</w:t>
      </w:r>
      <w:r>
        <w:rPr>
          <w:rFonts w:hint="eastAsia" w:ascii="宋体" w:hAnsi="宋体"/>
          <w:color w:val="auto"/>
          <w:sz w:val="24"/>
          <w:szCs w:val="24"/>
          <w:lang w:val="en-US" w:eastAsia="zh-CN"/>
        </w:rPr>
        <w:t>无</w:t>
      </w:r>
      <w:r>
        <w:rPr>
          <w:rFonts w:hint="eastAsia" w:ascii="宋体" w:hAnsi="宋体"/>
          <w:color w:val="auto"/>
          <w:sz w:val="24"/>
          <w:szCs w:val="24"/>
          <w:lang w:val="zh-CN"/>
        </w:rPr>
        <w:t>政府采购</w:t>
      </w:r>
      <w:r>
        <w:rPr>
          <w:rFonts w:hint="eastAsia" w:ascii="宋体" w:hAnsi="宋体"/>
          <w:color w:val="auto"/>
          <w:sz w:val="24"/>
          <w:szCs w:val="24"/>
          <w:lang w:val="en-US" w:eastAsia="zh-CN"/>
        </w:rPr>
        <w:t>相关经费。</w:t>
      </w:r>
    </w:p>
    <w:p w14:paraId="7A67016D">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267CDFE9">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14:paraId="1C40AED5">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1D3EE03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5209DCCC">
      <w:pPr>
        <w:spacing w:before="100" w:beforeLines="0" w:after="100" w:afterLines="0"/>
        <w:jc w:val="left"/>
        <w:rPr>
          <w:rFonts w:hint="eastAsia" w:ascii="宋体" w:hAnsi="宋体"/>
          <w:color w:val="auto"/>
          <w:sz w:val="24"/>
          <w:szCs w:val="24"/>
          <w:lang w:val="zh-CN"/>
        </w:rPr>
      </w:pPr>
    </w:p>
    <w:p w14:paraId="3FA6F59C">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3AA6816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06F0655F">
      <w:pPr>
        <w:keepNext/>
        <w:keepLines/>
        <w:suppressLineNumbers/>
        <w:spacing w:beforeLines="0" w:afterLines="0"/>
        <w:jc w:val="left"/>
        <w:rPr>
          <w:rFonts w:hint="eastAsia" w:ascii="宋体" w:hAnsi="宋体"/>
          <w:color w:val="auto"/>
          <w:sz w:val="24"/>
          <w:szCs w:val="24"/>
          <w:lang w:val="zh-CN"/>
        </w:rPr>
      </w:pPr>
      <w:r>
        <w:rPr>
          <w:rFonts w:hint="eastAsia" w:ascii="宋体" w:hAnsi="宋体"/>
          <w:color w:val="auto"/>
          <w:kern w:val="0"/>
          <w:sz w:val="24"/>
          <w:szCs w:val="24"/>
          <w:lang w:val="en-US"/>
        </w:rPr>
        <w:t>根据预算绩效管理要求,本部门对202</w:t>
      </w:r>
      <w:r>
        <w:rPr>
          <w:rFonts w:hint="eastAsia" w:ascii="宋体" w:hAnsi="宋体"/>
          <w:color w:val="auto"/>
          <w:kern w:val="0"/>
          <w:sz w:val="24"/>
          <w:szCs w:val="24"/>
          <w:lang w:val="en-US" w:eastAsia="zh-CN"/>
        </w:rPr>
        <w:t>3</w:t>
      </w:r>
      <w:r>
        <w:rPr>
          <w:rFonts w:hint="eastAsia" w:ascii="宋体" w:hAnsi="宋体"/>
          <w:color w:val="auto"/>
          <w:kern w:val="0"/>
          <w:sz w:val="24"/>
          <w:szCs w:val="24"/>
          <w:lang w:val="en-US"/>
        </w:rPr>
        <w:t>年度一般公共预算项目支出全面开展绩效自评,其中,一级项目</w:t>
      </w:r>
      <w:r>
        <w:rPr>
          <w:rFonts w:hint="eastAsia" w:ascii="宋体" w:hAnsi="宋体"/>
          <w:color w:val="auto"/>
          <w:kern w:val="0"/>
          <w:sz w:val="24"/>
          <w:szCs w:val="24"/>
          <w:lang w:val="en-US" w:eastAsia="zh-CN"/>
        </w:rPr>
        <w:t>1</w:t>
      </w:r>
      <w:r>
        <w:rPr>
          <w:rFonts w:hint="eastAsia" w:ascii="宋体" w:hAnsi="宋体"/>
          <w:color w:val="auto"/>
          <w:kern w:val="0"/>
          <w:sz w:val="24"/>
          <w:szCs w:val="24"/>
          <w:lang w:val="en-US"/>
        </w:rPr>
        <w:t>个,二级项目</w:t>
      </w:r>
      <w:r>
        <w:rPr>
          <w:rFonts w:hint="eastAsia" w:ascii="宋体" w:hAnsi="宋体"/>
          <w:color w:val="auto"/>
          <w:kern w:val="0"/>
          <w:sz w:val="24"/>
          <w:szCs w:val="24"/>
          <w:lang w:val="en-US" w:eastAsia="zh-CN"/>
        </w:rPr>
        <w:t>0</w:t>
      </w:r>
      <w:r>
        <w:rPr>
          <w:rFonts w:hint="eastAsia" w:ascii="宋体" w:hAnsi="宋体"/>
          <w:color w:val="auto"/>
          <w:kern w:val="0"/>
          <w:sz w:val="24"/>
          <w:szCs w:val="24"/>
          <w:lang w:val="en-US"/>
        </w:rPr>
        <w:t>个,共涉及资金</w:t>
      </w:r>
      <w:r>
        <w:rPr>
          <w:rFonts w:hint="eastAsia" w:ascii="宋体" w:hAnsi="宋体"/>
          <w:color w:val="auto"/>
          <w:kern w:val="0"/>
          <w:sz w:val="24"/>
          <w:szCs w:val="24"/>
          <w:lang w:val="en-US" w:eastAsia="zh-CN"/>
        </w:rPr>
        <w:t>169.31万</w:t>
      </w:r>
      <w:r>
        <w:rPr>
          <w:rFonts w:hint="eastAsia" w:ascii="宋体" w:hAnsi="宋体"/>
          <w:color w:val="auto"/>
          <w:kern w:val="0"/>
          <w:sz w:val="24"/>
          <w:szCs w:val="24"/>
          <w:lang w:val="en-US"/>
        </w:rPr>
        <w:t>元,占一般公共预算项目支出总额的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%。组织对</w:t>
      </w:r>
      <w:r>
        <w:rPr>
          <w:rFonts w:hint="default" w:ascii="宋体" w:hAnsi="宋体"/>
          <w:color w:val="auto"/>
          <w:kern w:val="0"/>
          <w:sz w:val="24"/>
          <w:szCs w:val="24"/>
          <w:lang w:val="en-US"/>
        </w:rPr>
        <w:t>“</w:t>
      </w:r>
      <w:r>
        <w:rPr>
          <w:rFonts w:hint="eastAsia" w:ascii="宋体" w:hAnsi="宋体"/>
          <w:color w:val="auto"/>
          <w:kern w:val="0"/>
          <w:sz w:val="24"/>
          <w:szCs w:val="24"/>
          <w:lang w:val="en-US" w:eastAsia="zh-CN"/>
        </w:rPr>
        <w:t>档案管护费</w:t>
      </w:r>
      <w:r>
        <w:rPr>
          <w:rFonts w:hint="default" w:ascii="宋体" w:hAnsi="宋体"/>
          <w:color w:val="auto"/>
          <w:kern w:val="0"/>
          <w:sz w:val="24"/>
          <w:szCs w:val="24"/>
          <w:lang w:val="en-US"/>
        </w:rPr>
        <w:t>”</w:t>
      </w:r>
      <w:r>
        <w:rPr>
          <w:rFonts w:hint="eastAsia" w:ascii="宋体" w:hAnsi="宋体"/>
          <w:color w:val="auto"/>
          <w:kern w:val="0"/>
          <w:sz w:val="24"/>
          <w:szCs w:val="24"/>
          <w:lang w:val="en-US"/>
        </w:rPr>
        <w:t>等</w:t>
      </w:r>
      <w:r>
        <w:rPr>
          <w:rFonts w:hint="eastAsia" w:ascii="宋体" w:hAnsi="宋体"/>
          <w:color w:val="auto"/>
          <w:kern w:val="0"/>
          <w:sz w:val="24"/>
          <w:szCs w:val="24"/>
          <w:lang w:val="en-US" w:eastAsia="zh-CN"/>
        </w:rPr>
        <w:t>1</w:t>
      </w:r>
      <w:r>
        <w:rPr>
          <w:rFonts w:hint="eastAsia" w:ascii="宋体" w:hAnsi="宋体"/>
          <w:color w:val="auto"/>
          <w:kern w:val="0"/>
          <w:sz w:val="24"/>
          <w:szCs w:val="24"/>
          <w:lang w:val="en-US"/>
        </w:rPr>
        <w:t>个项目开展了部门评价,涉及一般公共预算支出</w:t>
      </w:r>
      <w:r>
        <w:rPr>
          <w:rFonts w:hint="eastAsia" w:ascii="宋体" w:hAnsi="宋体"/>
          <w:color w:val="auto"/>
          <w:kern w:val="0"/>
          <w:sz w:val="24"/>
          <w:szCs w:val="24"/>
          <w:lang w:val="en-US" w:eastAsia="zh-CN"/>
        </w:rPr>
        <w:t>28.5万</w:t>
      </w:r>
      <w:r>
        <w:rPr>
          <w:rFonts w:hint="eastAsia" w:ascii="宋体" w:hAnsi="宋体"/>
          <w:color w:val="auto"/>
          <w:kern w:val="0"/>
          <w:sz w:val="24"/>
          <w:szCs w:val="24"/>
          <w:lang w:val="en-US"/>
        </w:rPr>
        <w:t>元,政府性基金预算支出</w:t>
      </w:r>
      <w:r>
        <w:rPr>
          <w:rFonts w:hint="eastAsia" w:ascii="宋体" w:hAnsi="宋体"/>
          <w:color w:val="auto"/>
          <w:kern w:val="0"/>
          <w:sz w:val="24"/>
          <w:szCs w:val="24"/>
          <w:lang w:val="en-US" w:eastAsia="zh-CN"/>
        </w:rPr>
        <w:t>0元</w:t>
      </w:r>
      <w:r>
        <w:rPr>
          <w:rFonts w:hint="eastAsia" w:ascii="宋体" w:hAnsi="宋体"/>
          <w:color w:val="auto"/>
          <w:kern w:val="0"/>
          <w:sz w:val="24"/>
          <w:szCs w:val="24"/>
          <w:lang w:val="en-US"/>
        </w:rPr>
        <w:t>,国有资本经营预算支出</w:t>
      </w:r>
      <w:r>
        <w:rPr>
          <w:rFonts w:hint="eastAsia" w:ascii="宋体" w:hAnsi="宋体"/>
          <w:color w:val="auto"/>
          <w:kern w:val="0"/>
          <w:sz w:val="24"/>
          <w:szCs w:val="24"/>
          <w:lang w:val="en-US" w:eastAsia="zh-CN"/>
        </w:rPr>
        <w:t>0元</w:t>
      </w:r>
      <w:r>
        <w:rPr>
          <w:rFonts w:hint="eastAsia" w:ascii="宋体" w:hAnsi="宋体"/>
          <w:color w:val="auto"/>
          <w:kern w:val="0"/>
          <w:sz w:val="24"/>
          <w:szCs w:val="24"/>
          <w:lang w:val="en-US"/>
        </w:rPr>
        <w:t>。从评价情况来看,</w:t>
      </w:r>
      <w:r>
        <w:rPr>
          <w:rFonts w:hint="eastAsia" w:ascii="宋体" w:hAnsi="宋体"/>
          <w:color w:val="auto"/>
          <w:kern w:val="0"/>
          <w:sz w:val="24"/>
          <w:szCs w:val="24"/>
          <w:lang w:val="en-US" w:eastAsia="zh-CN"/>
        </w:rPr>
        <w:t>从项目的经济性、效率性、有效性和可持续性等方面进行量化、具体分析，综合得分均为100分</w:t>
      </w:r>
      <w:r>
        <w:rPr>
          <w:rFonts w:hint="eastAsia" w:ascii="宋体" w:hAnsi="宋体"/>
          <w:color w:val="auto"/>
          <w:kern w:val="0"/>
          <w:sz w:val="24"/>
          <w:szCs w:val="24"/>
          <w:lang w:val="en-US"/>
        </w:rPr>
        <w:t>。</w:t>
      </w:r>
    </w:p>
    <w:p w14:paraId="54DC62EE">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7A9CDA64">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1.绩效目标自评表</w:t>
      </w:r>
    </w:p>
    <w:p w14:paraId="1D72A0A9">
      <w:pPr>
        <w:keepNext/>
        <w:keepLines/>
        <w:suppressLineNumbers/>
        <w:spacing w:beforeLines="0" w:afterLines="0"/>
        <w:jc w:val="left"/>
        <w:rPr>
          <w:rFonts w:hint="eastAsia" w:ascii="宋体" w:hAnsi="宋体"/>
          <w:color w:val="auto"/>
          <w:sz w:val="24"/>
          <w:szCs w:val="24"/>
          <w:lang w:val="zh-CN"/>
        </w:rPr>
      </w:pPr>
      <w:r>
        <w:rPr>
          <w:rFonts w:hint="eastAsia" w:ascii="宋体" w:hAnsi="宋体"/>
          <w:color w:val="auto"/>
          <w:kern w:val="0"/>
          <w:sz w:val="24"/>
          <w:szCs w:val="24"/>
          <w:lang w:val="en-US"/>
        </w:rPr>
        <w:t>我部门在202</w:t>
      </w:r>
      <w:r>
        <w:rPr>
          <w:rFonts w:hint="eastAsia" w:ascii="宋体" w:hAnsi="宋体"/>
          <w:color w:val="auto"/>
          <w:kern w:val="0"/>
          <w:sz w:val="24"/>
          <w:szCs w:val="24"/>
          <w:lang w:val="en-US" w:eastAsia="zh-CN"/>
        </w:rPr>
        <w:t>3</w:t>
      </w:r>
      <w:r>
        <w:rPr>
          <w:rFonts w:hint="eastAsia" w:ascii="宋体" w:hAnsi="宋体"/>
          <w:color w:val="auto"/>
          <w:kern w:val="0"/>
          <w:sz w:val="24"/>
          <w:szCs w:val="24"/>
          <w:lang w:val="en-US"/>
        </w:rPr>
        <w:t>年度部门决算中反映</w:t>
      </w:r>
      <w:r>
        <w:rPr>
          <w:rFonts w:hint="eastAsia" w:ascii="宋体" w:hAnsi="宋体"/>
          <w:color w:val="auto"/>
          <w:kern w:val="0"/>
          <w:sz w:val="24"/>
          <w:szCs w:val="24"/>
          <w:lang w:val="en-US" w:eastAsia="zh-CN"/>
        </w:rPr>
        <w:t>档案管护费</w:t>
      </w:r>
      <w:r>
        <w:rPr>
          <w:rFonts w:hint="eastAsia" w:ascii="宋体" w:hAnsi="宋体"/>
          <w:color w:val="auto"/>
          <w:kern w:val="0"/>
          <w:sz w:val="24"/>
          <w:szCs w:val="24"/>
          <w:lang w:val="en-US"/>
        </w:rPr>
        <w:t>等</w:t>
      </w:r>
      <w:r>
        <w:rPr>
          <w:rFonts w:hint="eastAsia" w:ascii="宋体" w:hAnsi="宋体"/>
          <w:color w:val="auto"/>
          <w:kern w:val="0"/>
          <w:sz w:val="24"/>
          <w:szCs w:val="24"/>
          <w:lang w:val="en-US" w:eastAsia="zh-CN"/>
        </w:rPr>
        <w:t>1</w:t>
      </w:r>
      <w:r>
        <w:rPr>
          <w:rFonts w:hint="eastAsia" w:ascii="宋体" w:hAnsi="宋体"/>
          <w:color w:val="auto"/>
          <w:kern w:val="0"/>
          <w:sz w:val="24"/>
          <w:szCs w:val="24"/>
          <w:lang w:val="en-US"/>
        </w:rPr>
        <w:t>个项目绩效自评结果。项目绩效目标完成情况：</w:t>
      </w:r>
      <w:r>
        <w:rPr>
          <w:rFonts w:hint="eastAsia" w:ascii="宋体" w:hAnsi="宋体"/>
          <w:color w:val="auto"/>
          <w:kern w:val="0"/>
          <w:sz w:val="24"/>
          <w:szCs w:val="24"/>
          <w:lang w:val="en-US" w:eastAsia="zh-CN"/>
        </w:rPr>
        <w:t>档案管护费</w:t>
      </w:r>
      <w:r>
        <w:rPr>
          <w:rFonts w:hint="eastAsia" w:ascii="宋体" w:hAnsi="宋体"/>
          <w:color w:val="auto"/>
          <w:kern w:val="0"/>
          <w:sz w:val="24"/>
          <w:szCs w:val="24"/>
          <w:lang w:val="en-US"/>
        </w:rPr>
        <w:t>项目绩效自评情况根据年初设定的绩效目标,项目绩效自评得分为</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分。项目全年预算数为</w:t>
      </w:r>
      <w:r>
        <w:rPr>
          <w:rFonts w:hint="eastAsia" w:ascii="宋体" w:hAnsi="宋体"/>
          <w:color w:val="auto"/>
          <w:kern w:val="0"/>
          <w:sz w:val="24"/>
          <w:szCs w:val="24"/>
          <w:lang w:val="en-US" w:eastAsia="zh-CN"/>
        </w:rPr>
        <w:t>28.5万</w:t>
      </w:r>
      <w:r>
        <w:rPr>
          <w:rFonts w:hint="eastAsia" w:ascii="宋体" w:hAnsi="宋体"/>
          <w:color w:val="auto"/>
          <w:kern w:val="0"/>
          <w:sz w:val="24"/>
          <w:szCs w:val="24"/>
          <w:lang w:val="en-US"/>
        </w:rPr>
        <w:t>元,执行数为</w:t>
      </w:r>
      <w:r>
        <w:rPr>
          <w:rFonts w:hint="eastAsia" w:ascii="宋体" w:hAnsi="宋体"/>
          <w:color w:val="auto"/>
          <w:kern w:val="0"/>
          <w:sz w:val="24"/>
          <w:szCs w:val="24"/>
          <w:lang w:val="en-US" w:eastAsia="zh-CN"/>
        </w:rPr>
        <w:t>28.5万</w:t>
      </w:r>
      <w:r>
        <w:rPr>
          <w:rFonts w:hint="eastAsia" w:ascii="宋体" w:hAnsi="宋体"/>
          <w:color w:val="auto"/>
          <w:kern w:val="0"/>
          <w:sz w:val="24"/>
          <w:szCs w:val="24"/>
          <w:lang w:val="en-US"/>
        </w:rPr>
        <w:t>元,完成预算的</w:t>
      </w:r>
      <w:r>
        <w:rPr>
          <w:rFonts w:hint="eastAsia" w:ascii="宋体" w:hAnsi="宋体"/>
          <w:color w:val="auto"/>
          <w:kern w:val="0"/>
          <w:sz w:val="24"/>
          <w:szCs w:val="24"/>
          <w:lang w:val="en-US" w:eastAsia="zh-CN"/>
        </w:rPr>
        <w:t>100</w:t>
      </w:r>
      <w:r>
        <w:rPr>
          <w:rFonts w:hint="eastAsia" w:ascii="宋体" w:hAnsi="宋体"/>
          <w:color w:val="auto"/>
          <w:kern w:val="0"/>
          <w:sz w:val="24"/>
          <w:szCs w:val="24"/>
          <w:lang w:val="en-US"/>
        </w:rPr>
        <w:t>%。项目绩效目标完成情况：一是</w:t>
      </w:r>
      <w:r>
        <w:rPr>
          <w:rFonts w:hint="eastAsia" w:ascii="宋体" w:hAnsi="宋体"/>
          <w:color w:val="auto"/>
          <w:kern w:val="0"/>
          <w:sz w:val="24"/>
          <w:szCs w:val="24"/>
          <w:lang w:val="en-US" w:eastAsia="zh-CN"/>
        </w:rPr>
        <w:t>资金拨付和使用按照计划完成</w:t>
      </w:r>
      <w:r>
        <w:rPr>
          <w:rFonts w:hint="eastAsia" w:ascii="宋体" w:hAnsi="宋体"/>
          <w:color w:val="auto"/>
          <w:kern w:val="0"/>
          <w:sz w:val="24"/>
          <w:szCs w:val="24"/>
          <w:lang w:val="en-US"/>
        </w:rPr>
        <w:t>；二是</w:t>
      </w:r>
      <w:r>
        <w:rPr>
          <w:rFonts w:hint="eastAsia" w:ascii="宋体" w:hAnsi="宋体"/>
          <w:color w:val="auto"/>
          <w:kern w:val="0"/>
          <w:sz w:val="24"/>
          <w:szCs w:val="24"/>
          <w:lang w:val="en-US" w:eastAsia="zh-CN"/>
        </w:rPr>
        <w:t>保证专款专用</w:t>
      </w:r>
      <w:r>
        <w:rPr>
          <w:rFonts w:hint="eastAsia" w:ascii="宋体" w:hAnsi="宋体"/>
          <w:color w:val="auto"/>
          <w:kern w:val="0"/>
          <w:sz w:val="24"/>
          <w:szCs w:val="24"/>
          <w:lang w:val="en-US"/>
        </w:rPr>
        <w:t>。发现的主要问题及原因：</w:t>
      </w:r>
      <w:r>
        <w:rPr>
          <w:rFonts w:hint="eastAsia" w:ascii="宋体" w:hAnsi="宋体"/>
          <w:color w:val="auto"/>
          <w:kern w:val="0"/>
          <w:sz w:val="24"/>
          <w:szCs w:val="24"/>
          <w:lang w:val="en-US" w:eastAsia="zh-CN"/>
        </w:rPr>
        <w:t>台账管理欠规范</w:t>
      </w:r>
      <w:r>
        <w:rPr>
          <w:rFonts w:hint="eastAsia" w:ascii="宋体" w:hAnsi="宋体"/>
          <w:color w:val="auto"/>
          <w:kern w:val="0"/>
          <w:sz w:val="24"/>
          <w:szCs w:val="24"/>
          <w:lang w:val="en-US"/>
        </w:rPr>
        <w:t>。下一步改进措施：</w:t>
      </w:r>
      <w:r>
        <w:rPr>
          <w:rFonts w:hint="eastAsia" w:ascii="宋体" w:hAnsi="宋体"/>
          <w:color w:val="auto"/>
          <w:kern w:val="0"/>
          <w:sz w:val="24"/>
          <w:szCs w:val="24"/>
          <w:lang w:val="en-US" w:eastAsia="zh-CN"/>
        </w:rPr>
        <w:t>做好档案管护费经费台账建设</w:t>
      </w:r>
      <w:r>
        <w:rPr>
          <w:rFonts w:hint="eastAsia" w:ascii="宋体" w:hAnsi="宋体"/>
          <w:color w:val="auto"/>
          <w:kern w:val="0"/>
          <w:sz w:val="24"/>
          <w:szCs w:val="24"/>
          <w:lang w:val="en-US"/>
        </w:rPr>
        <w:t>。</w:t>
      </w:r>
    </w:p>
    <w:p w14:paraId="2AB91B2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12DD0009">
      <w:pPr>
        <w:spacing w:before="100" w:beforeLines="0" w:after="100" w:afterLines="0"/>
        <w:jc w:val="both"/>
        <w:rPr>
          <w:rFonts w:hint="eastAsia" w:asciiTheme="minorEastAsia" w:hAnsiTheme="minorEastAsia" w:eastAsiaTheme="minorEastAsia" w:cstheme="minorEastAsia"/>
          <w:color w:val="auto"/>
          <w:sz w:val="24"/>
          <w:szCs w:val="24"/>
          <w:lang w:val="zh-CN"/>
        </w:rPr>
      </w:pPr>
      <w:r>
        <w:rPr>
          <w:rFonts w:hint="eastAsia" w:ascii="宋体" w:hAnsi="宋体"/>
          <w:color w:val="auto"/>
          <w:sz w:val="24"/>
          <w:szCs w:val="24"/>
          <w:lang w:val="zh-CN"/>
        </w:rPr>
        <w:t>部门（单位）整体支出绩效自评表（见附件）</w:t>
      </w:r>
    </w:p>
    <w:p w14:paraId="053BFAF8">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32E6B4F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以下为常见专业名词解释目录,仅供参考,部门应根据实际情况进行解释和增减。比如可将类级功能科目和经济科目细化解释到项级。若有删减注意调整段落序号。</w:t>
      </w:r>
    </w:p>
    <w:p w14:paraId="41D7E7E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173E255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0404239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6842704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09EFE2CF">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07159DE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68C72083">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245E5D5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122F2519">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CCBF3F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11D273E4">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5BF023A6">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7023537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EE1B8E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195144C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14:paraId="405CBA6A">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附件：</w:t>
      </w:r>
    </w:p>
    <w:p w14:paraId="4DFD2697">
      <w:pPr>
        <w:numPr>
          <w:ilvl w:val="0"/>
          <w:numId w:val="3"/>
        </w:num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en-US" w:eastAsia="zh-CN"/>
        </w:rPr>
        <w:t>华池县档案馆决算公开表</w:t>
      </w:r>
    </w:p>
    <w:p w14:paraId="623C6C69">
      <w:pPr>
        <w:numPr>
          <w:ilvl w:val="0"/>
          <w:numId w:val="3"/>
        </w:numPr>
        <w:spacing w:before="100" w:beforeLines="0" w:after="100" w:afterLines="0"/>
        <w:jc w:val="left"/>
        <w:rPr>
          <w:rFonts w:hint="eastAsia" w:ascii="宋体" w:hAnsi="宋体"/>
          <w:color w:val="auto"/>
          <w:sz w:val="24"/>
          <w:szCs w:val="24"/>
          <w:lang w:val="zh-CN"/>
        </w:rPr>
      </w:pPr>
      <w:r>
        <w:rPr>
          <w:rFonts w:hint="default" w:ascii="宋体" w:hAnsi="宋体"/>
          <w:color w:val="auto"/>
          <w:sz w:val="24"/>
          <w:szCs w:val="24"/>
          <w:lang w:val="en-US" w:eastAsia="zh-CN"/>
        </w:rPr>
        <w:t>202</w:t>
      </w:r>
      <w:r>
        <w:rPr>
          <w:rFonts w:hint="eastAsia" w:ascii="宋体" w:hAnsi="宋体"/>
          <w:color w:val="auto"/>
          <w:sz w:val="24"/>
          <w:szCs w:val="24"/>
          <w:lang w:val="en-US" w:eastAsia="zh-CN"/>
        </w:rPr>
        <w:t>3</w:t>
      </w:r>
      <w:r>
        <w:rPr>
          <w:rFonts w:hint="default" w:ascii="宋体" w:hAnsi="宋体"/>
          <w:color w:val="auto"/>
          <w:sz w:val="24"/>
          <w:szCs w:val="24"/>
          <w:lang w:val="en-US" w:eastAsia="zh-CN"/>
        </w:rPr>
        <w:t>年部门（单位）整体支出绩效自评表、项目绩效目标申报</w:t>
      </w:r>
    </w:p>
    <w:p w14:paraId="52B50BCA">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chineseCounting"/>
      <w:suff w:val="nothing"/>
      <w:lvlText w:val="（%1）"/>
      <w:lvlJc w:val="left"/>
      <w:rPr>
        <w:rFonts w:hint="eastAsia"/>
      </w:rPr>
    </w:lvl>
  </w:abstractNum>
  <w:abstractNum w:abstractNumId="1">
    <w:nsid w:val="302AF2D6"/>
    <w:multiLevelType w:val="singleLevel"/>
    <w:tmpl w:val="302AF2D6"/>
    <w:lvl w:ilvl="0" w:tentative="0">
      <w:start w:val="1"/>
      <w:numFmt w:val="decimal"/>
      <w:lvlText w:val="%1."/>
      <w:lvlJc w:val="left"/>
      <w:pPr>
        <w:tabs>
          <w:tab w:val="left" w:pos="312"/>
        </w:tabs>
      </w:pPr>
    </w:lvl>
  </w:abstractNum>
  <w:abstractNum w:abstractNumId="2">
    <w:nsid w:val="3A6F2DC2"/>
    <w:multiLevelType w:val="singleLevel"/>
    <w:tmpl w:val="3A6F2DC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zNzQyMTBlMzI1ODgzMjRkOGQzM2E0OWI5YmY2MmYifQ=="/>
  </w:docVars>
  <w:rsids>
    <w:rsidRoot w:val="00000000"/>
    <w:rsid w:val="356469D0"/>
    <w:rsid w:val="4C9323D9"/>
    <w:rsid w:val="7008052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before="100" w:beforeAutospacing="1" w:after="100" w:afterAutospacing="1"/>
      <w:jc w:val="left"/>
    </w:pPr>
    <w:rPr>
      <w:rFonts w:ascii="宋体" w:hAnsi="Times New Roman" w:cs="宋体"/>
      <w:kern w:val="0"/>
      <w:sz w:val="24"/>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6d72efea-68d0-4682-be5f-81981451d61e}">
  <ds:schemaRefs/>
</ds:datastoreItem>
</file>

<file path=customXml/itemProps2.xml><?xml version="1.0" encoding="utf-8"?>
<ds:datastoreItem xmlns:ds="http://schemas.openxmlformats.org/officeDocument/2006/customXml" ds:itemID="{8862fc80-e7db-4850-95a1-d5730e4336d1}">
  <ds:schemaRefs/>
</ds:datastoreItem>
</file>

<file path=customXml/itemProps3.xml><?xml version="1.0" encoding="utf-8"?>
<ds:datastoreItem xmlns:ds="http://schemas.openxmlformats.org/officeDocument/2006/customXml" ds:itemID="{861c995d-0be0-4806-84d0-1435fbf0f3c3}">
  <ds:schemaRefs/>
</ds:datastoreItem>
</file>

<file path=customXml/itemProps4.xml><?xml version="1.0" encoding="utf-8"?>
<ds:datastoreItem xmlns:ds="http://schemas.openxmlformats.org/officeDocument/2006/customXml" ds:itemID="{bd00f27f-229e-4b22-9b9c-ea8f502db14a}">
  <ds:schemaRefs/>
</ds:datastoreItem>
</file>

<file path=customXml/itemProps5.xml><?xml version="1.0" encoding="utf-8"?>
<ds:datastoreItem xmlns:ds="http://schemas.openxmlformats.org/officeDocument/2006/customXml" ds:itemID="{1d935822-fa1f-46fd-bdd9-522dcabb87a3}">
  <ds:schemaRefs/>
</ds:datastoreItem>
</file>

<file path=customXml/itemProps6.xml><?xml version="1.0" encoding="utf-8"?>
<ds:datastoreItem xmlns:ds="http://schemas.openxmlformats.org/officeDocument/2006/customXml" ds:itemID="{4d8dd8c8-ec69-410a-9727-2dbc5bf55c62}">
  <ds:schemaRefs/>
</ds:datastoreItem>
</file>

<file path=customXml/itemProps7.xml><?xml version="1.0" encoding="utf-8"?>
<ds:datastoreItem xmlns:ds="http://schemas.openxmlformats.org/officeDocument/2006/customXml" ds:itemID="{c0e7b363-513f-4134-9fe8-50fb78372eab}">
  <ds:schemaRefs/>
</ds:datastoreItem>
</file>

<file path=customXml/itemProps8.xml><?xml version="1.0" encoding="utf-8"?>
<ds:datastoreItem xmlns:ds="http://schemas.openxmlformats.org/officeDocument/2006/customXml" ds:itemID="{c00c4855-e613-4ef7-b2e0-2592825f750e}">
  <ds:schemaRefs/>
</ds:datastoreItem>
</file>

<file path=customXml/itemProps9.xml><?xml version="1.0" encoding="utf-8"?>
<ds:datastoreItem xmlns:ds="http://schemas.openxmlformats.org/officeDocument/2006/customXml" ds:itemID="{a4535b08-7982-47ae-8b2e-8a2a0b5186c4}">
  <ds:schemaRefs/>
</ds:datastoreItem>
</file>

<file path=docProps/app.xml><?xml version="1.0" encoding="utf-8"?>
<Properties xmlns="http://schemas.openxmlformats.org/officeDocument/2006/extended-properties" xmlns:vt="http://schemas.openxmlformats.org/officeDocument/2006/docPropsVTypes">
  <Template>Normal.dotm</Template>
  <Pages>7</Pages>
  <Words>3707</Words>
  <Characters>4038</Characters>
  <Lines>0</Lines>
  <Paragraphs>0</Paragraphs>
  <TotalTime>0</TotalTime>
  <ScaleCrop>false</ScaleCrop>
  <LinksUpToDate>false</LinksUpToDate>
  <CharactersWithSpaces>4042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～嗯嗯行好对</cp:lastModifiedBy>
  <dcterms:modified xsi:type="dcterms:W3CDTF">2024-09-18T07:54:22Z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