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C5C15">
      <w:pPr>
        <w:spacing w:before="100" w:beforeLines="0" w:after="100" w:afterLines="0"/>
        <w:jc w:val="center"/>
        <w:rPr>
          <w:rFonts w:hint="eastAsia" w:ascii="宋体" w:hAnsi="宋体"/>
          <w:sz w:val="24"/>
          <w:szCs w:val="24"/>
          <w:lang w:val="zh-CN"/>
        </w:rPr>
      </w:pPr>
    </w:p>
    <w:p w14:paraId="0A7CA6AF">
      <w:pPr>
        <w:bidi w:val="0"/>
        <w:rPr>
          <w:rFonts w:hint="eastAsia"/>
          <w:lang w:val="zh-CN"/>
        </w:rPr>
      </w:pPr>
    </w:p>
    <w:p w14:paraId="1069C54C">
      <w:pPr>
        <w:spacing w:before="100" w:beforeLines="0" w:after="100" w:afterLines="0"/>
        <w:jc w:val="center"/>
        <w:rPr>
          <w:rFonts w:hint="eastAsia" w:ascii="宋体" w:hAnsi="宋体"/>
          <w:sz w:val="24"/>
          <w:szCs w:val="24"/>
          <w:lang w:val="zh-CN"/>
        </w:rPr>
      </w:pPr>
    </w:p>
    <w:p w14:paraId="79D7CA9B">
      <w:pPr>
        <w:spacing w:before="100" w:beforeLines="0" w:after="100" w:afterLines="0"/>
        <w:jc w:val="center"/>
        <w:rPr>
          <w:rFonts w:hint="eastAsia" w:ascii="宋体" w:hAnsi="宋体"/>
          <w:sz w:val="24"/>
          <w:szCs w:val="24"/>
          <w:lang w:val="zh-CN"/>
        </w:rPr>
      </w:pPr>
    </w:p>
    <w:p w14:paraId="49B2DB58">
      <w:pPr>
        <w:spacing w:before="100" w:beforeLines="0" w:after="100" w:afterLines="0"/>
        <w:jc w:val="center"/>
        <w:rPr>
          <w:rFonts w:hint="eastAsia" w:ascii="宋体" w:hAnsi="宋体"/>
          <w:sz w:val="24"/>
          <w:szCs w:val="24"/>
          <w:lang w:val="zh-CN"/>
        </w:rPr>
      </w:pPr>
    </w:p>
    <w:p w14:paraId="1E793900">
      <w:pPr>
        <w:spacing w:before="100" w:beforeLines="0" w:after="100" w:afterLines="0"/>
        <w:jc w:val="center"/>
        <w:rPr>
          <w:rFonts w:hint="eastAsia" w:ascii="宋体" w:hAnsi="宋体"/>
          <w:sz w:val="24"/>
          <w:szCs w:val="24"/>
          <w:lang w:val="zh-CN"/>
        </w:rPr>
      </w:pPr>
    </w:p>
    <w:p w14:paraId="50016852">
      <w:pPr>
        <w:spacing w:before="100" w:beforeLines="0" w:after="100" w:afterLines="0"/>
        <w:jc w:val="center"/>
        <w:rPr>
          <w:rFonts w:hint="eastAsia" w:ascii="宋体" w:hAnsi="宋体"/>
          <w:sz w:val="24"/>
          <w:szCs w:val="24"/>
          <w:lang w:val="zh-CN"/>
        </w:rPr>
      </w:pPr>
    </w:p>
    <w:p w14:paraId="05912DE5">
      <w:pPr>
        <w:spacing w:before="100" w:beforeLines="0" w:after="100" w:afterLines="0"/>
        <w:jc w:val="center"/>
        <w:rPr>
          <w:rFonts w:hint="eastAsia" w:ascii="宋体" w:hAnsi="宋体"/>
          <w:sz w:val="24"/>
          <w:szCs w:val="24"/>
          <w:lang w:val="zh-CN"/>
        </w:rPr>
      </w:pPr>
    </w:p>
    <w:p w14:paraId="18222DAB">
      <w:pPr>
        <w:spacing w:before="100" w:beforeLines="0" w:after="100" w:afterLines="0"/>
        <w:jc w:val="center"/>
        <w:rPr>
          <w:rFonts w:hint="eastAsia" w:ascii="宋体" w:hAnsi="宋体"/>
          <w:sz w:val="24"/>
          <w:szCs w:val="24"/>
          <w:lang w:val="zh-CN"/>
        </w:rPr>
      </w:pPr>
    </w:p>
    <w:p w14:paraId="49A6093E">
      <w:pPr>
        <w:spacing w:before="100" w:beforeLines="0" w:after="100" w:afterLines="0"/>
        <w:jc w:val="center"/>
        <w:rPr>
          <w:rFonts w:hint="eastAsia" w:ascii="宋体" w:hAnsi="宋体"/>
          <w:sz w:val="24"/>
          <w:szCs w:val="24"/>
          <w:lang w:val="zh-CN"/>
        </w:rPr>
      </w:pPr>
    </w:p>
    <w:p w14:paraId="63A67E8C">
      <w:pPr>
        <w:spacing w:before="100" w:beforeLines="0" w:after="100" w:afterLines="0"/>
        <w:jc w:val="center"/>
        <w:rPr>
          <w:rFonts w:hint="eastAsia" w:ascii="宋体" w:hAnsi="宋体"/>
          <w:sz w:val="24"/>
          <w:szCs w:val="24"/>
          <w:lang w:val="zh-CN"/>
        </w:rPr>
      </w:pPr>
    </w:p>
    <w:p w14:paraId="09F3AED4">
      <w:pPr>
        <w:spacing w:before="100" w:beforeLines="0" w:after="100" w:afterLines="0"/>
        <w:jc w:val="center"/>
        <w:rPr>
          <w:rFonts w:hint="eastAsia" w:ascii="宋体" w:hAnsi="宋体"/>
          <w:sz w:val="24"/>
          <w:szCs w:val="24"/>
          <w:lang w:val="zh-CN"/>
        </w:rPr>
      </w:pPr>
    </w:p>
    <w:p w14:paraId="181D9D83">
      <w:pPr>
        <w:pStyle w:val="2"/>
        <w:bidi w:val="0"/>
        <w:jc w:val="center"/>
        <w:rPr>
          <w:rFonts w:hint="eastAsia"/>
          <w:lang w:val="zh-CN"/>
        </w:rPr>
      </w:pPr>
      <w:r>
        <w:rPr>
          <w:rFonts w:hint="eastAsia"/>
          <w:lang w:val="zh-CN"/>
        </w:rPr>
        <w:t>2023年度</w:t>
      </w:r>
    </w:p>
    <w:p w14:paraId="2D0E8D5D">
      <w:pPr>
        <w:pStyle w:val="2"/>
        <w:bidi w:val="0"/>
        <w:jc w:val="center"/>
        <w:rPr>
          <w:rFonts w:hint="eastAsia"/>
          <w:lang w:val="zh-CN"/>
        </w:rPr>
      </w:pPr>
      <w:r>
        <w:rPr>
          <w:rFonts w:hint="eastAsia"/>
          <w:lang w:val="zh-CN"/>
        </w:rPr>
        <w:t>华池县</w:t>
      </w:r>
      <w:r>
        <w:rPr>
          <w:rFonts w:hint="eastAsia"/>
          <w:lang w:val="en-US" w:eastAsia="zh-CN"/>
        </w:rPr>
        <w:t>城壕镇</w:t>
      </w:r>
      <w:r>
        <w:rPr>
          <w:rFonts w:hint="eastAsia"/>
          <w:lang w:val="zh-CN"/>
        </w:rPr>
        <w:t>人民政府部门决算</w:t>
      </w:r>
    </w:p>
    <w:p w14:paraId="0FCA2EB5">
      <w:pPr>
        <w:spacing w:before="100" w:beforeLines="0" w:after="100" w:afterLines="0"/>
        <w:jc w:val="center"/>
        <w:rPr>
          <w:rFonts w:hint="eastAsia" w:ascii="宋体" w:hAnsi="宋体"/>
          <w:sz w:val="24"/>
          <w:szCs w:val="24"/>
          <w:lang w:val="zh-CN"/>
        </w:rPr>
      </w:pPr>
    </w:p>
    <w:p w14:paraId="6ECFCF24">
      <w:pPr>
        <w:spacing w:before="100" w:beforeLines="0" w:after="100" w:afterLines="0"/>
        <w:jc w:val="center"/>
        <w:rPr>
          <w:rFonts w:hint="eastAsia" w:ascii="宋体" w:hAnsi="宋体"/>
          <w:sz w:val="24"/>
          <w:szCs w:val="24"/>
          <w:lang w:val="zh-CN"/>
        </w:rPr>
      </w:pPr>
    </w:p>
    <w:p w14:paraId="26D0ACC4">
      <w:pPr>
        <w:spacing w:before="100" w:beforeLines="0" w:after="100" w:afterLines="0"/>
        <w:jc w:val="center"/>
        <w:rPr>
          <w:rFonts w:hint="eastAsia" w:ascii="宋体" w:hAnsi="宋体"/>
          <w:sz w:val="24"/>
          <w:szCs w:val="24"/>
          <w:lang w:val="zh-CN"/>
        </w:rPr>
      </w:pPr>
    </w:p>
    <w:p w14:paraId="1C7AB169">
      <w:pPr>
        <w:spacing w:before="100" w:beforeLines="0" w:after="100" w:afterLines="0"/>
        <w:jc w:val="center"/>
        <w:rPr>
          <w:rFonts w:hint="eastAsia" w:ascii="宋体" w:hAnsi="宋体"/>
          <w:sz w:val="24"/>
          <w:szCs w:val="24"/>
          <w:lang w:val="zh-CN"/>
        </w:rPr>
      </w:pPr>
    </w:p>
    <w:p w14:paraId="4C9F66BD">
      <w:pPr>
        <w:spacing w:before="100" w:beforeLines="0" w:after="100" w:afterLines="0"/>
        <w:jc w:val="center"/>
        <w:rPr>
          <w:rFonts w:hint="eastAsia" w:ascii="宋体" w:hAnsi="宋体"/>
          <w:sz w:val="24"/>
          <w:szCs w:val="24"/>
          <w:lang w:val="zh-CN"/>
        </w:rPr>
      </w:pPr>
    </w:p>
    <w:p w14:paraId="53F9B16F">
      <w:pPr>
        <w:spacing w:before="100" w:beforeLines="0" w:after="100" w:afterLines="0"/>
        <w:jc w:val="center"/>
        <w:rPr>
          <w:rFonts w:hint="eastAsia" w:ascii="宋体" w:hAnsi="宋体"/>
          <w:sz w:val="24"/>
          <w:szCs w:val="24"/>
          <w:lang w:val="zh-CN"/>
        </w:rPr>
      </w:pPr>
    </w:p>
    <w:p w14:paraId="02E58DA1">
      <w:pPr>
        <w:spacing w:before="100" w:beforeLines="0" w:after="100" w:afterLines="0"/>
        <w:jc w:val="center"/>
        <w:rPr>
          <w:rFonts w:hint="eastAsia" w:ascii="宋体" w:hAnsi="宋体"/>
          <w:sz w:val="24"/>
          <w:szCs w:val="24"/>
          <w:lang w:val="zh-CN"/>
        </w:rPr>
      </w:pPr>
    </w:p>
    <w:p w14:paraId="0B30ABBC">
      <w:pPr>
        <w:spacing w:before="100" w:beforeLines="0" w:after="100" w:afterLines="0"/>
        <w:jc w:val="center"/>
        <w:rPr>
          <w:rFonts w:hint="eastAsia" w:ascii="宋体" w:hAnsi="宋体"/>
          <w:sz w:val="24"/>
          <w:szCs w:val="24"/>
          <w:lang w:val="zh-CN"/>
        </w:rPr>
      </w:pPr>
    </w:p>
    <w:p w14:paraId="3A6A2DBF">
      <w:pPr>
        <w:spacing w:before="100" w:beforeLines="0" w:after="100" w:afterLines="0"/>
        <w:jc w:val="center"/>
        <w:rPr>
          <w:rFonts w:hint="eastAsia" w:ascii="宋体" w:hAnsi="宋体"/>
          <w:sz w:val="24"/>
          <w:szCs w:val="24"/>
          <w:lang w:val="zh-CN"/>
        </w:rPr>
      </w:pPr>
    </w:p>
    <w:p w14:paraId="1CE9EA87">
      <w:pPr>
        <w:spacing w:before="100" w:beforeLines="0" w:after="100" w:afterLines="0"/>
        <w:jc w:val="center"/>
        <w:rPr>
          <w:rFonts w:hint="eastAsia" w:ascii="宋体" w:hAnsi="宋体"/>
          <w:sz w:val="24"/>
          <w:szCs w:val="24"/>
          <w:lang w:val="zh-CN"/>
        </w:rPr>
      </w:pPr>
    </w:p>
    <w:p w14:paraId="4DC85F36">
      <w:pPr>
        <w:spacing w:before="100" w:beforeLines="0" w:after="100" w:afterLines="0"/>
        <w:jc w:val="both"/>
        <w:rPr>
          <w:rFonts w:hint="eastAsia" w:ascii="仿宋_GB2312" w:hAnsi="仿宋_GB2312" w:eastAsia="仿宋_GB2312" w:cs="仿宋_GB2312"/>
          <w:sz w:val="32"/>
          <w:szCs w:val="32"/>
          <w:lang w:val="zh-CN"/>
        </w:rPr>
      </w:pPr>
    </w:p>
    <w:p w14:paraId="40F990BC">
      <w:pPr>
        <w:spacing w:before="100" w:beforeLines="0" w:after="100" w:afterLines="0"/>
        <w:jc w:val="center"/>
        <w:rPr>
          <w:rFonts w:hint="eastAsia" w:ascii="仿宋_GB2312" w:hAnsi="仿宋_GB2312" w:eastAsia="仿宋_GB2312" w:cs="仿宋_GB2312"/>
          <w:sz w:val="32"/>
          <w:szCs w:val="32"/>
          <w:lang w:val="zh-CN"/>
        </w:rPr>
      </w:pPr>
    </w:p>
    <w:p w14:paraId="382A701F">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1F4D6369">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536864D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05348ECF">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2E5D175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79616E1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267CA35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4071E99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68ED19E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009D5B2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528F5EC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7F40FBB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70E13D3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32915D0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22E8E48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42E5A0A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28B204E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170BADE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06AD14D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11D9C60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4BE16CC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32B65B64">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2C2F817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790E1D32">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2FA196AC">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7024842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3E9CBE1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2FB9747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2B998D5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26F1088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77C4C91F">
      <w:pPr>
        <w:spacing w:before="100" w:beforeLines="0" w:after="100" w:afterLines="0"/>
        <w:jc w:val="center"/>
        <w:rPr>
          <w:rFonts w:hint="eastAsia" w:ascii="仿宋_GB2312" w:hAnsi="仿宋_GB2312" w:eastAsia="仿宋_GB2312" w:cs="仿宋_GB2312"/>
          <w:b/>
          <w:sz w:val="32"/>
          <w:szCs w:val="32"/>
          <w:lang w:val="zh-CN"/>
        </w:rPr>
      </w:pPr>
    </w:p>
    <w:p w14:paraId="48DA2155">
      <w:pPr>
        <w:spacing w:before="100" w:beforeLines="0" w:after="100" w:afterLines="0"/>
        <w:jc w:val="center"/>
        <w:rPr>
          <w:rFonts w:hint="eastAsia" w:ascii="仿宋_GB2312" w:hAnsi="仿宋_GB2312" w:eastAsia="仿宋_GB2312" w:cs="仿宋_GB2312"/>
          <w:b/>
          <w:sz w:val="32"/>
          <w:szCs w:val="32"/>
          <w:lang w:val="zh-CN"/>
        </w:rPr>
      </w:pPr>
    </w:p>
    <w:p w14:paraId="66CDA9F9">
      <w:pPr>
        <w:spacing w:before="100" w:beforeLines="0" w:after="100" w:afterLines="0"/>
        <w:jc w:val="center"/>
        <w:rPr>
          <w:rFonts w:hint="eastAsia" w:ascii="仿宋_GB2312" w:hAnsi="仿宋_GB2312" w:eastAsia="仿宋_GB2312" w:cs="仿宋_GB2312"/>
          <w:b/>
          <w:sz w:val="32"/>
          <w:szCs w:val="32"/>
          <w:lang w:val="zh-CN"/>
        </w:rPr>
      </w:pPr>
    </w:p>
    <w:p w14:paraId="58929429">
      <w:pPr>
        <w:spacing w:before="100" w:beforeLines="0" w:after="100" w:afterLines="0"/>
        <w:jc w:val="center"/>
        <w:rPr>
          <w:rFonts w:hint="eastAsia" w:ascii="仿宋_GB2312" w:hAnsi="仿宋_GB2312" w:eastAsia="仿宋_GB2312" w:cs="仿宋_GB2312"/>
          <w:b/>
          <w:sz w:val="32"/>
          <w:szCs w:val="32"/>
          <w:lang w:val="zh-CN"/>
        </w:rPr>
      </w:pPr>
    </w:p>
    <w:p w14:paraId="397DABA1">
      <w:pPr>
        <w:spacing w:before="100" w:beforeLines="0" w:after="100" w:afterLines="0"/>
        <w:jc w:val="center"/>
        <w:rPr>
          <w:rFonts w:hint="eastAsia" w:ascii="仿宋_GB2312" w:hAnsi="仿宋_GB2312" w:eastAsia="仿宋_GB2312" w:cs="仿宋_GB2312"/>
          <w:b/>
          <w:sz w:val="32"/>
          <w:szCs w:val="32"/>
          <w:lang w:val="zh-CN"/>
        </w:rPr>
      </w:pPr>
    </w:p>
    <w:p w14:paraId="3529D342">
      <w:pPr>
        <w:spacing w:before="100" w:beforeLines="0" w:after="100" w:afterLines="0"/>
        <w:jc w:val="center"/>
        <w:rPr>
          <w:rFonts w:hint="eastAsia" w:ascii="仿宋_GB2312" w:hAnsi="仿宋_GB2312" w:eastAsia="仿宋_GB2312" w:cs="仿宋_GB2312"/>
          <w:b/>
          <w:sz w:val="32"/>
          <w:szCs w:val="32"/>
          <w:lang w:val="zh-CN"/>
        </w:rPr>
      </w:pPr>
    </w:p>
    <w:p w14:paraId="339E6145">
      <w:pPr>
        <w:spacing w:before="100" w:beforeLines="0" w:after="100" w:afterLines="0"/>
        <w:jc w:val="center"/>
        <w:rPr>
          <w:rFonts w:hint="eastAsia" w:ascii="仿宋_GB2312" w:hAnsi="仿宋_GB2312" w:eastAsia="仿宋_GB2312" w:cs="仿宋_GB2312"/>
          <w:sz w:val="32"/>
          <w:szCs w:val="32"/>
          <w:lang w:val="zh-CN"/>
        </w:rPr>
      </w:pPr>
      <w:bookmarkStart w:id="0" w:name="_GoBack"/>
      <w:bookmarkEnd w:id="0"/>
      <w:r>
        <w:rPr>
          <w:rFonts w:hint="eastAsia" w:ascii="仿宋_GB2312" w:hAnsi="仿宋_GB2312" w:eastAsia="仿宋_GB2312" w:cs="仿宋_GB2312"/>
          <w:b/>
          <w:sz w:val="32"/>
          <w:szCs w:val="32"/>
          <w:lang w:val="zh-CN"/>
        </w:rPr>
        <w:t>第一部分部门概况</w:t>
      </w:r>
    </w:p>
    <w:p w14:paraId="43565EE9">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7103169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城壕镇</w:t>
      </w:r>
      <w:r>
        <w:rPr>
          <w:rFonts w:hint="eastAsia" w:ascii="仿宋_GB2312" w:hAnsi="仿宋_GB2312" w:eastAsia="仿宋_GB2312" w:cs="仿宋_GB2312"/>
          <w:color w:val="auto"/>
          <w:sz w:val="32"/>
          <w:szCs w:val="32"/>
          <w:lang w:val="zh-CN"/>
        </w:rPr>
        <w:t>人民政府是领导和管理经济、教育、科学、文化、卫生等工作的职能部门。主要职责是:</w:t>
      </w:r>
    </w:p>
    <w:p w14:paraId="2986D59D">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1、贯彻执行党的路线、方针、政策和国家法律法规，贯彻执行上级行政机关的决议、命令及乡党委的决定，执行乡人民代表大会的决议；</w:t>
      </w:r>
    </w:p>
    <w:p w14:paraId="4CD78DC7">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2、对乡人民代表大会及其主席团和县政府负责并报告工作；</w:t>
      </w:r>
    </w:p>
    <w:p w14:paraId="1870BF45">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3、编制和执行乡国民经济和社会发展计划，编制并执行财政预算；</w:t>
      </w:r>
    </w:p>
    <w:p w14:paraId="5CE46D67">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4、管理经济和各项社会事业的行政工作；</w:t>
      </w:r>
    </w:p>
    <w:p w14:paraId="4FDFB47A">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5、负责乡行政执法工作，维护社会秩序，保护公民人身、民主、财产等合法权利，保护各种经济组织的合法权益；</w:t>
      </w:r>
    </w:p>
    <w:p w14:paraId="48997451">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6、支持和帮助村民委员会工作；</w:t>
      </w:r>
    </w:p>
    <w:p w14:paraId="5E8859BF">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7、法律规定的其他职责。</w:t>
      </w:r>
    </w:p>
    <w:p w14:paraId="60C7831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14:paraId="4D95074E">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 xml:space="preserve">    城壕镇</w:t>
      </w:r>
      <w:r>
        <w:rPr>
          <w:rFonts w:hint="eastAsia" w:ascii="仿宋_GB2312" w:hAnsi="仿宋_GB2312" w:eastAsia="仿宋_GB2312" w:cs="仿宋_GB2312"/>
          <w:color w:val="auto"/>
          <w:sz w:val="32"/>
          <w:szCs w:val="32"/>
          <w:lang w:val="zh-CN"/>
        </w:rPr>
        <w:t>人民政府内设4个职能办公室室（1.党政综合办公室负责乡党委、人大、政府日常工作和组织人事机构编制工作；2.党建办公室负责乡机关党务、纪检和党风廉政建设、宣传工作；3、经济发展和社会事务办公室负责经济发展规划的制定和落实，第一、二、三产业的指导、管理工作；4、社会治理和应急管理办公室负责治安防控体系建设、平安创建活动工作，负责网格化管理、网络信息技术平台建设维护等工作）。设置5个事业机构，分别为农业服务中心负责宣传贯彻农业农村相关法律、法规、政策、农业技术推广应用与指导，动植物病虫害、疫情的监测与防治，农产品质量监管服务；公共事务服务中心负责辖区内社会救助，公共卫生文化体育环境整治等公共服务工作、居民最低生活保障对象的调查、申报工作；政务（便民）服务中心负责为群众提供公共服务，宣传贯彻相关政策方针，劳动就业、残疾人事业和基本养老、医疗、工伤、失业等社会保险相关事务性工作，办理本级和经授权行使的相关行政审批服务、证照办理、信息咨询、非涉密文件查询等工作，窗口工作人员的服务评价和绩效考核工作；社会治安综合治理办公室负责社会治安、维护稳定、应急管理工作，网格化综合管理的事务性、辅助性工作，承担人民来信来访、司法、人民调解、治安联防、协调政法综治、群防群治、安全创建等工作，宣传贯彻安全生产有关法律、法规、政策；协助做好安全生产（含消防安全）综合监管和打非治违、禁毒、反邪教等工作；综合行政执法队负责依据相关法律法规，统一承担辖区范围内综合行政执法的工作；根据县直有关部门委托，集中行使乡村集乡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14:paraId="3C65138A">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14:paraId="600FC210">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B1ED316">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03228FC">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7F8D485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6305E68C">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8D1EF95">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1D8D783D">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703BC3D0">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455B913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r>
        <w:rPr>
          <w:rFonts w:hint="eastAsia" w:ascii="仿宋_GB2312" w:hAnsi="仿宋_GB2312" w:eastAsia="仿宋_GB2312" w:cs="仿宋_GB2312"/>
          <w:color w:val="auto"/>
          <w:sz w:val="32"/>
          <w:szCs w:val="32"/>
          <w:lang w:val="en-US" w:eastAsia="zh-CN"/>
        </w:rPr>
        <w:t>见附件</w:t>
      </w:r>
      <w:r>
        <w:rPr>
          <w:rFonts w:hint="eastAsia" w:ascii="仿宋_GB2312" w:hAnsi="仿宋_GB2312" w:eastAsia="仿宋_GB2312" w:cs="仿宋_GB2312"/>
          <w:color w:val="auto"/>
          <w:sz w:val="32"/>
          <w:szCs w:val="32"/>
          <w:lang w:val="zh-CN"/>
        </w:rPr>
        <w:t>）</w:t>
      </w:r>
    </w:p>
    <w:p w14:paraId="0BF58566">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356A1F0E">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14:paraId="6DA7E30F">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 总支出为1463.02万元。与2022年度相比，减少773.44万元，下降34.58%。主要原因是</w:t>
      </w:r>
      <w:r>
        <w:rPr>
          <w:rFonts w:hint="eastAsia" w:ascii="仿宋_GB2312" w:hAnsi="仿宋_GB2312" w:eastAsia="仿宋_GB2312" w:cs="仿宋_GB2312"/>
          <w:color w:val="auto"/>
          <w:sz w:val="32"/>
          <w:szCs w:val="32"/>
          <w:lang w:val="en-US" w:eastAsia="zh-CN"/>
        </w:rPr>
        <w:t>人员变动及节约开支。</w:t>
      </w:r>
    </w:p>
    <w:p w14:paraId="39F46CA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14:paraId="0F402DD9">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2023年度收入合计1463.02万元,其中：财政拨款收入1463.02万元,占100.00%。</w:t>
      </w:r>
    </w:p>
    <w:p w14:paraId="0A6A72E1">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14:paraId="31BE46CF">
      <w:pPr>
        <w:widowControl/>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2023年度支出合计1463.02万元,其中：</w:t>
      </w:r>
      <w:r>
        <w:rPr>
          <w:rFonts w:hint="eastAsia" w:ascii="仿宋_GB2312" w:hAnsi="仿宋_GB2312" w:eastAsia="仿宋_GB2312"/>
          <w:sz w:val="32"/>
          <w:lang w:bidi="zh-HK"/>
        </w:rPr>
        <w:t>基本支出</w:t>
      </w:r>
      <w:r>
        <w:rPr>
          <w:rFonts w:hint="eastAsia" w:ascii="仿宋_GB2312" w:eastAsia="仿宋_GB2312" w:cs="仿宋_GB2312"/>
          <w:sz w:val="32"/>
          <w:szCs w:val="32"/>
          <w:lang w:bidi="zh-HK"/>
        </w:rPr>
        <w:t>885.17</w:t>
      </w:r>
      <w:r>
        <w:rPr>
          <w:rFonts w:hint="eastAsia" w:ascii="仿宋_GB2312" w:hAnsi="仿宋_GB2312" w:eastAsia="仿宋_GB2312"/>
          <w:sz w:val="32"/>
          <w:lang w:bidi="zh-HK"/>
        </w:rPr>
        <w:t>万元，占财政拨款支出的</w:t>
      </w:r>
      <w:r>
        <w:rPr>
          <w:rFonts w:hint="eastAsia" w:ascii="仿宋_GB2312" w:eastAsia="仿宋_GB2312" w:cs="仿宋_GB2312"/>
          <w:sz w:val="32"/>
          <w:szCs w:val="32"/>
          <w:lang w:bidi="zh-HK"/>
        </w:rPr>
        <w:t>60.50</w:t>
      </w:r>
      <w:r>
        <w:rPr>
          <w:rFonts w:eastAsia="Times New Roman"/>
          <w:sz w:val="32"/>
          <w:lang w:bidi="zh-HK"/>
        </w:rPr>
        <w:t>%</w:t>
      </w:r>
      <w:r>
        <w:rPr>
          <w:rFonts w:hint="eastAsia" w:ascii="仿宋_GB2312" w:hAnsi="仿宋_GB2312" w:eastAsia="仿宋_GB2312"/>
          <w:sz w:val="32"/>
          <w:lang w:bidi="zh-HK"/>
        </w:rPr>
        <w:t>；项目支出</w:t>
      </w:r>
      <w:r>
        <w:rPr>
          <w:rFonts w:hint="eastAsia" w:ascii="仿宋_GB2312" w:eastAsia="仿宋_GB2312" w:cs="仿宋_GB2312"/>
          <w:sz w:val="32"/>
          <w:szCs w:val="32"/>
          <w:lang w:bidi="zh-HK"/>
        </w:rPr>
        <w:t>577.85</w:t>
      </w:r>
      <w:r>
        <w:rPr>
          <w:rFonts w:hint="eastAsia" w:ascii="仿宋_GB2312" w:hAnsi="仿宋_GB2312" w:eastAsia="仿宋_GB2312"/>
          <w:sz w:val="32"/>
          <w:lang w:bidi="zh-HK"/>
        </w:rPr>
        <w:t>万元，占财政拨款支出的</w:t>
      </w:r>
      <w:r>
        <w:rPr>
          <w:rFonts w:hint="eastAsia" w:ascii="仿宋_GB2312" w:eastAsia="仿宋_GB2312" w:cs="仿宋_GB2312"/>
          <w:sz w:val="32"/>
          <w:szCs w:val="32"/>
          <w:lang w:bidi="zh-HK"/>
        </w:rPr>
        <w:t>39.50</w:t>
      </w:r>
      <w:r>
        <w:rPr>
          <w:rFonts w:eastAsia="Times New Roman"/>
          <w:sz w:val="32"/>
          <w:lang w:bidi="zh-HK"/>
        </w:rPr>
        <w:t>%</w:t>
      </w:r>
      <w:r>
        <w:rPr>
          <w:rFonts w:hint="eastAsia" w:ascii="仿宋_GB2312" w:hAnsi="仿宋_GB2312" w:eastAsia="仿宋_GB2312"/>
          <w:sz w:val="32"/>
          <w:lang w:bidi="zh-HK"/>
        </w:rPr>
        <w:t>。</w:t>
      </w:r>
    </w:p>
    <w:p w14:paraId="728A1860">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14:paraId="7063A497">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1463.02万元。与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年相比,减少773.44万元，下降34.58%。主要原因是</w:t>
      </w:r>
      <w:r>
        <w:rPr>
          <w:rFonts w:hint="eastAsia" w:ascii="仿宋_GB2312" w:hAnsi="仿宋_GB2312" w:eastAsia="仿宋_GB2312" w:cs="仿宋_GB2312"/>
          <w:color w:val="auto"/>
          <w:sz w:val="32"/>
          <w:szCs w:val="32"/>
          <w:lang w:val="en-US" w:eastAsia="zh-CN"/>
        </w:rPr>
        <w:t>人员变动及节约开支。</w:t>
      </w:r>
    </w:p>
    <w:p w14:paraId="1043F1C0">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14:paraId="3BFAF588">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14:paraId="39387A31">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2023年度一般公共预算财政拨款支出</w:t>
      </w:r>
      <w:r>
        <w:rPr>
          <w:rFonts w:hint="eastAsia" w:ascii="仿宋_GB2312" w:eastAsia="仿宋_GB2312" w:cs="仿宋_GB2312"/>
          <w:sz w:val="32"/>
          <w:szCs w:val="32"/>
          <w:lang w:bidi="zh-HK"/>
        </w:rPr>
        <w:t>1463.02</w:t>
      </w:r>
      <w:r>
        <w:rPr>
          <w:rFonts w:hint="eastAsia" w:ascii="仿宋_GB2312" w:hAnsi="仿宋_GB2312" w:eastAsia="仿宋_GB2312" w:cs="仿宋_GB2312"/>
          <w:color w:val="auto"/>
          <w:sz w:val="32"/>
          <w:szCs w:val="32"/>
          <w:lang w:val="zh-CN"/>
        </w:rPr>
        <w:t>万元,较上年决算数减少773.44万元，下降34.58%。主要原因是</w:t>
      </w:r>
      <w:r>
        <w:rPr>
          <w:rFonts w:hint="eastAsia" w:ascii="仿宋_GB2312" w:hAnsi="仿宋_GB2312" w:eastAsia="仿宋_GB2312" w:cs="仿宋_GB2312"/>
          <w:color w:val="auto"/>
          <w:sz w:val="32"/>
          <w:szCs w:val="32"/>
          <w:lang w:val="en-US" w:eastAsia="zh-CN"/>
        </w:rPr>
        <w:t>人员变动及</w:t>
      </w:r>
      <w:r>
        <w:rPr>
          <w:rFonts w:hint="eastAsia" w:ascii="仿宋_GB2312" w:hAnsi="仿宋_GB2312" w:eastAsia="仿宋_GB2312" w:cs="仿宋_GB2312"/>
          <w:color w:val="auto"/>
          <w:sz w:val="32"/>
          <w:szCs w:val="32"/>
          <w:lang w:val="zh-CN"/>
        </w:rPr>
        <w:t>落实过紧日子要求压减经费支出</w:t>
      </w:r>
      <w:r>
        <w:rPr>
          <w:rFonts w:hint="eastAsia" w:ascii="仿宋_GB2312" w:hAnsi="仿宋_GB2312" w:eastAsia="仿宋_GB2312" w:cs="仿宋_GB2312"/>
          <w:color w:val="auto"/>
          <w:sz w:val="32"/>
          <w:szCs w:val="32"/>
          <w:lang w:val="en-US" w:eastAsia="zh-CN"/>
        </w:rPr>
        <w:t>。</w:t>
      </w:r>
    </w:p>
    <w:p w14:paraId="24C293E0">
      <w:pPr>
        <w:numPr>
          <w:ilvl w:val="0"/>
          <w:numId w:val="1"/>
        </w:numPr>
        <w:spacing w:before="100" w:beforeLines="0" w:after="100" w:afterLine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76C8E605">
      <w:pPr>
        <w:numPr>
          <w:ilvl w:val="0"/>
          <w:numId w:val="0"/>
        </w:numPr>
        <w:spacing w:before="100" w:beforeLines="0" w:after="100" w:afterLines="0"/>
        <w:ind w:left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val="zh-CN"/>
          <w14:textFill>
            <w14:solidFill>
              <w14:schemeClr w14:val="tx1"/>
            </w14:solidFill>
          </w14:textFill>
        </w:rPr>
        <w:t>023年度一般公共预算财政拨款支出1463.02万元，主要用于以下方面：一般公共服务支出257.16万元,占17.58%；公共安全支出10.00万元,占0.68%；社会保障和就业支出146.42万元,占10.01%；卫生健康支出52.07万元,占3.56%；节能环保支出172.40万元,占11.78%；灾害防治及应急管理支出6.00万元,占0.41%；农林水支出818.98万元,占55.98%。</w:t>
      </w:r>
    </w:p>
    <w:p w14:paraId="6860D7C7">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21668C88">
      <w:pPr>
        <w:numPr>
          <w:ilvl w:val="0"/>
          <w:numId w:val="0"/>
        </w:numPr>
        <w:spacing w:before="100" w:beforeLines="0" w:after="100" w:afterLines="0"/>
        <w:ind w:left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eastAsia="zh-CN"/>
        </w:rPr>
        <w:t>2023年度一般公共预算财政拨款支出年初预算为</w:t>
      </w:r>
      <w:r>
        <w:rPr>
          <w:rFonts w:hint="eastAsia" w:ascii="仿宋_GB2312" w:hAnsi="仿宋_GB2312" w:eastAsia="仿宋_GB2312" w:cs="仿宋_GB2312"/>
          <w:color w:val="auto"/>
          <w:sz w:val="32"/>
          <w:szCs w:val="32"/>
          <w:lang w:val="zh-CN"/>
        </w:rPr>
        <w:t>873.97万元,支出决算为1463.02万元,完成年初预算的167.4%。其中：</w:t>
      </w:r>
    </w:p>
    <w:p w14:paraId="6105B23A">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一般公共服务支出</w:t>
      </w:r>
      <w:r>
        <w:rPr>
          <w:rFonts w:hint="eastAsia" w:ascii="仿宋_GB2312" w:hAnsi="仿宋_GB2312" w:eastAsia="仿宋_GB2312" w:cs="仿宋_GB2312"/>
          <w:color w:val="auto"/>
          <w:sz w:val="32"/>
          <w:szCs w:val="32"/>
          <w:lang w:val="zh-CN"/>
        </w:rPr>
        <w:t>年初预算数为0.00万元,支出决算为257.16万元,决算数大于预算数的主要原因是是年初未预算。</w:t>
      </w:r>
    </w:p>
    <w:p w14:paraId="73BD7802">
      <w:pPr>
        <w:numPr>
          <w:ilvl w:val="0"/>
          <w:numId w:val="2"/>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公共安全支出</w:t>
      </w:r>
      <w:r>
        <w:rPr>
          <w:rFonts w:hint="eastAsia" w:ascii="仿宋_GB2312" w:hAnsi="仿宋_GB2312" w:eastAsia="仿宋_GB2312" w:cs="仿宋_GB2312"/>
          <w:color w:val="auto"/>
          <w:sz w:val="32"/>
          <w:szCs w:val="32"/>
          <w:lang w:val="zh-CN"/>
        </w:rPr>
        <w:t>年初预算数为0.00万元,支出决算为</w:t>
      </w:r>
      <w:r>
        <w:rPr>
          <w:rFonts w:hint="eastAsia" w:ascii="仿宋_GB2312" w:hAnsi="仿宋_GB2312" w:eastAsia="仿宋_GB2312" w:cs="仿宋_GB2312"/>
          <w:color w:val="auto"/>
          <w:sz w:val="32"/>
          <w:szCs w:val="32"/>
          <w:lang w:val="en-US" w:eastAsia="zh-CN"/>
        </w:rPr>
        <w:t>10.00</w:t>
      </w:r>
      <w:r>
        <w:rPr>
          <w:rFonts w:hint="eastAsia" w:ascii="仿宋_GB2312" w:hAnsi="仿宋_GB2312" w:eastAsia="仿宋_GB2312" w:cs="仿宋_GB2312"/>
          <w:color w:val="auto"/>
          <w:sz w:val="32"/>
          <w:szCs w:val="32"/>
          <w:lang w:val="zh-CN"/>
        </w:rPr>
        <w:t>万元,决算数大于预算数的主要原因是年初未预算。</w:t>
      </w:r>
    </w:p>
    <w:p w14:paraId="0FDA6776">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年初预算数为103.57万元,支出决算为146.42万元,完成年初预算的141.38%,决算数大于预算数的主要原因是</w:t>
      </w:r>
      <w:r>
        <w:rPr>
          <w:rFonts w:hint="eastAsia" w:ascii="仿宋_GB2312" w:hAnsi="仿宋_GB2312" w:eastAsia="仿宋_GB2312" w:cs="仿宋_GB2312"/>
          <w:color w:val="auto"/>
          <w:sz w:val="32"/>
          <w:szCs w:val="32"/>
          <w:lang w:val="en-US" w:eastAsia="zh-CN"/>
        </w:rPr>
        <w:t>人员变动</w:t>
      </w:r>
      <w:r>
        <w:rPr>
          <w:rFonts w:hint="eastAsia" w:ascii="仿宋_GB2312" w:hAnsi="仿宋_GB2312" w:eastAsia="仿宋_GB2312" w:cs="仿宋_GB2312"/>
          <w:color w:val="auto"/>
          <w:sz w:val="32"/>
          <w:szCs w:val="32"/>
          <w:lang w:val="zh-CN"/>
        </w:rPr>
        <w:t>。</w:t>
      </w:r>
    </w:p>
    <w:p w14:paraId="3C51DF6B">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eastAsia="zh-CN"/>
        </w:rPr>
        <w:t>年初预算数为36.80万元,支出决算为52.07万元,完成年初预算的141.49%,决算数大于预算数的</w:t>
      </w:r>
      <w:r>
        <w:rPr>
          <w:rFonts w:hint="eastAsia" w:ascii="仿宋_GB2312" w:hAnsi="仿宋_GB2312" w:eastAsia="仿宋_GB2312" w:cs="仿宋_GB2312"/>
          <w:color w:val="auto"/>
          <w:sz w:val="32"/>
          <w:szCs w:val="32"/>
          <w:lang w:val="en-US" w:eastAsia="zh-CN"/>
        </w:rPr>
        <w:t>主要原因是人员变动，支出增加。</w:t>
      </w:r>
    </w:p>
    <w:p w14:paraId="179D0836">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节能环保支出</w:t>
      </w:r>
      <w:r>
        <w:rPr>
          <w:rFonts w:hint="eastAsia" w:ascii="仿宋_GB2312" w:hAnsi="仿宋_GB2312" w:eastAsia="仿宋_GB2312" w:cs="仿宋_GB2312"/>
          <w:color w:val="auto"/>
          <w:sz w:val="32"/>
          <w:szCs w:val="32"/>
          <w:lang w:val="zh-CN"/>
        </w:rPr>
        <w:t>年初预算数为0.00万元,支出决算为172.40万元,决算数大于预算数的主要原因是年初未预算。</w:t>
      </w:r>
    </w:p>
    <w:p w14:paraId="3BF25D98">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年初预算数为733.60万元,支出决算为818.98万元,完成年初预算的111.64%,决算数大于预算数的主要原因是</w:t>
      </w:r>
      <w:r>
        <w:rPr>
          <w:rFonts w:hint="eastAsia" w:ascii="仿宋_GB2312" w:hAnsi="仿宋_GB2312" w:eastAsia="仿宋_GB2312" w:cs="仿宋_GB2312"/>
          <w:color w:val="auto"/>
          <w:sz w:val="32"/>
          <w:szCs w:val="32"/>
          <w:lang w:val="en-US" w:eastAsia="zh-CN"/>
        </w:rPr>
        <w:t>人员变动，支出增加。</w:t>
      </w:r>
    </w:p>
    <w:p w14:paraId="52F1AF16">
      <w:pPr>
        <w:numPr>
          <w:ilvl w:val="0"/>
          <w:numId w:val="2"/>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灾害防治及应急管理支出</w:t>
      </w:r>
      <w:r>
        <w:rPr>
          <w:rFonts w:hint="eastAsia" w:ascii="仿宋_GB2312" w:hAnsi="仿宋_GB2312" w:eastAsia="仿宋_GB2312" w:cs="仿宋_GB2312"/>
          <w:color w:val="auto"/>
          <w:sz w:val="32"/>
          <w:szCs w:val="32"/>
          <w:lang w:val="zh-CN"/>
        </w:rPr>
        <w:t>年初预算数为0.00万元,支出决算为6.00万元,完成年初预算的%,决算数大于预算数的</w:t>
      </w:r>
      <w:r>
        <w:rPr>
          <w:rFonts w:hint="eastAsia" w:ascii="仿宋_GB2312" w:hAnsi="仿宋_GB2312" w:eastAsia="仿宋_GB2312" w:cs="仿宋_GB2312"/>
          <w:color w:val="auto"/>
          <w:sz w:val="32"/>
          <w:szCs w:val="32"/>
          <w:lang w:val="en-US" w:eastAsia="zh-CN"/>
        </w:rPr>
        <w:t>主要原因</w:t>
      </w:r>
      <w:r>
        <w:rPr>
          <w:rFonts w:hint="eastAsia" w:ascii="仿宋_GB2312" w:hAnsi="仿宋_GB2312" w:eastAsia="仿宋_GB2312" w:cs="仿宋_GB2312"/>
          <w:color w:val="auto"/>
          <w:sz w:val="32"/>
          <w:szCs w:val="32"/>
          <w:lang w:val="zh-CN"/>
        </w:rPr>
        <w:t>是年初未预算。</w:t>
      </w:r>
    </w:p>
    <w:p w14:paraId="3E41723F">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14:paraId="4A7197E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2023年度一般公共预算财政拨款基本支出885.17万元。其中：</w:t>
      </w:r>
    </w:p>
    <w:p w14:paraId="596E0485">
      <w:pPr>
        <w:spacing w:before="100" w:beforeLines="0" w:after="100" w:afterLines="0"/>
        <w:ind w:firstLine="643"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805.18万元,较上年决算数减少381.3万元,下降32.14%,主要原因</w:t>
      </w:r>
      <w:r>
        <w:rPr>
          <w:rFonts w:hint="eastAsia" w:ascii="仿宋_GB2312" w:hAnsi="仿宋_GB2312" w:eastAsia="仿宋_GB2312" w:cs="仿宋_GB2312"/>
          <w:color w:val="auto"/>
          <w:sz w:val="32"/>
          <w:szCs w:val="32"/>
          <w:lang w:val="en-US" w:eastAsia="zh-CN"/>
        </w:rPr>
        <w:t>是人员增减变动。</w:t>
      </w:r>
      <w:r>
        <w:rPr>
          <w:rFonts w:hint="eastAsia" w:ascii="仿宋_GB2312" w:hAnsi="仿宋_GB2312" w:eastAsia="仿宋_GB2312" w:cs="仿宋_GB2312"/>
          <w:color w:val="auto"/>
          <w:sz w:val="32"/>
          <w:szCs w:val="32"/>
          <w:lang w:val="zh-CN"/>
        </w:rPr>
        <w:t>人员经费用途主要包括：基本工资</w:t>
      </w:r>
      <w:r>
        <w:rPr>
          <w:rFonts w:hint="eastAsia" w:ascii="仿宋_GB2312" w:hAnsi="仿宋_GB2312" w:eastAsia="仿宋_GB2312" w:cs="仿宋_GB2312"/>
          <w:color w:val="auto"/>
          <w:sz w:val="32"/>
          <w:szCs w:val="32"/>
          <w:lang w:val="en-US" w:eastAsia="zh-CN"/>
        </w:rPr>
        <w:t>239.9万元</w:t>
      </w:r>
      <w:r>
        <w:rPr>
          <w:rFonts w:hint="eastAsia" w:ascii="仿宋_GB2312" w:hAnsi="仿宋_GB2312" w:eastAsia="仿宋_GB2312" w:cs="仿宋_GB2312"/>
          <w:color w:val="auto"/>
          <w:sz w:val="32"/>
          <w:szCs w:val="32"/>
          <w:lang w:val="zh-CN"/>
        </w:rPr>
        <w:t>、津贴补贴</w:t>
      </w:r>
      <w:r>
        <w:rPr>
          <w:rFonts w:hint="eastAsia" w:ascii="仿宋_GB2312" w:hAnsi="仿宋_GB2312" w:eastAsia="仿宋_GB2312" w:cs="仿宋_GB2312"/>
          <w:color w:val="auto"/>
          <w:sz w:val="32"/>
          <w:szCs w:val="32"/>
          <w:lang w:val="en-US" w:eastAsia="zh-CN"/>
        </w:rPr>
        <w:t>183.65万元、奖金163.56万元、绩效工资89.79万元、机关事业单位基本养老保险缴费65.43万元、职业年金4.15万元、职工基本医疗保险缴费45.71万元、公务员医疗补助缴费6.13万元、其他社会保障缴费1.73万元、对个人和家庭的补助5.12万元。</w:t>
      </w:r>
    </w:p>
    <w:p w14:paraId="6CD7D633">
      <w:p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79.99万元,较上年决算数减少599.99万元,下降88.24%,主要原因是落实过紧日子要求压减经费支出。公用经费用途主要包括：办公费</w:t>
      </w:r>
      <w:r>
        <w:rPr>
          <w:rFonts w:hint="eastAsia" w:ascii="仿宋_GB2312" w:hAnsi="仿宋_GB2312" w:eastAsia="仿宋_GB2312" w:cs="仿宋_GB2312"/>
          <w:color w:val="auto"/>
          <w:sz w:val="32"/>
          <w:szCs w:val="32"/>
          <w:lang w:val="en-US" w:eastAsia="zh-CN"/>
        </w:rPr>
        <w:t>38.13万元、电费9.88万元、取暖费2.59万元、差旅费4.00万元、劳务费5.9万元、工会经费3.28万元、公务用车运行维护费3.5万元、其他交通费用12.71万元。</w:t>
      </w:r>
    </w:p>
    <w:p w14:paraId="52A55786">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14:paraId="08552B11">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2023年度无政府性基金收入,也没有使用政府性基金安排的支出。</w:t>
      </w:r>
    </w:p>
    <w:p w14:paraId="3711821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14:paraId="6A039ED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lang w:val="zh-CN"/>
        </w:rPr>
        <w:t>2023年度没有使用国有资本经营预算安排的支出。</w:t>
      </w:r>
    </w:p>
    <w:p w14:paraId="0EF8B211">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14:paraId="626A597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695C7161">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eastAsia="zh-CN"/>
        </w:rPr>
        <w:t>2023年度</w:t>
      </w:r>
      <w:r>
        <w:rPr>
          <w:rFonts w:hint="default"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zh-CN" w:eastAsia="zh-CN"/>
        </w:rPr>
        <w:t>三公</w:t>
      </w:r>
      <w:r>
        <w:rPr>
          <w:rFonts w:hint="default" w:ascii="仿宋_GB2312" w:hAnsi="仿宋_GB2312" w:eastAsia="仿宋_GB2312" w:cs="仿宋_GB2312"/>
          <w:color w:val="auto"/>
          <w:sz w:val="32"/>
          <w:szCs w:val="32"/>
          <w:lang w:val="zh-CN" w:eastAsia="zh-CN"/>
        </w:rPr>
        <w:t>”</w:t>
      </w:r>
      <w:r>
        <w:rPr>
          <w:rFonts w:hint="eastAsia" w:ascii="仿宋_GB2312" w:hAnsi="仿宋_GB2312" w:eastAsia="仿宋_GB2312" w:cs="仿宋_GB2312"/>
          <w:color w:val="auto"/>
          <w:sz w:val="32"/>
          <w:szCs w:val="32"/>
          <w:lang w:val="zh-CN" w:eastAsia="zh-CN"/>
        </w:rPr>
        <w:t>经费支出</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lang w:val="zh-CN" w:eastAsia="zh-CN"/>
        </w:rPr>
        <w:t>预算数为5.20万元,支出决算为3.50万元,决算数小于预算数的</w:t>
      </w:r>
      <w:r>
        <w:rPr>
          <w:rFonts w:hint="eastAsia" w:ascii="仿宋_GB2312" w:hAnsi="仿宋_GB2312" w:eastAsia="仿宋_GB2312" w:cs="仿宋_GB2312"/>
          <w:color w:val="auto"/>
          <w:sz w:val="32"/>
          <w:szCs w:val="32"/>
          <w:lang w:val="en-US" w:eastAsia="zh-CN"/>
        </w:rPr>
        <w:t>主要原因是</w:t>
      </w:r>
      <w:r>
        <w:rPr>
          <w:rFonts w:hint="eastAsia" w:ascii="仿宋_GB2312" w:hAnsi="仿宋_GB2312" w:eastAsia="仿宋_GB2312" w:cs="仿宋_GB2312"/>
          <w:color w:val="auto"/>
          <w:sz w:val="32"/>
          <w:szCs w:val="32"/>
          <w:lang w:val="zh-CN"/>
        </w:rPr>
        <w:t>落实过紧日子要求压减经费支出</w:t>
      </w:r>
      <w:r>
        <w:rPr>
          <w:rFonts w:hint="eastAsia" w:ascii="仿宋_GB2312" w:hAnsi="仿宋_GB2312" w:eastAsia="仿宋_GB2312" w:cs="仿宋_GB2312"/>
          <w:color w:val="auto"/>
          <w:sz w:val="32"/>
          <w:szCs w:val="32"/>
          <w:lang w:val="en-US" w:eastAsia="zh-CN"/>
        </w:rPr>
        <w:t>。</w:t>
      </w:r>
    </w:p>
    <w:p w14:paraId="37492074">
      <w:pPr>
        <w:numPr>
          <w:ilvl w:val="0"/>
          <w:numId w:val="3"/>
        </w:numPr>
        <w:spacing w:before="100" w:beforeLines="0" w:after="100" w:afterLine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14:paraId="5B1F97ED">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预算数为0.00万元,支出决算为0.00万元,决算数</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lang w:val="zh-CN"/>
        </w:rPr>
        <w:t>预算数的主要原因是</w:t>
      </w:r>
      <w:r>
        <w:rPr>
          <w:rFonts w:hint="eastAsia" w:ascii="仿宋_GB2312" w:hAnsi="仿宋_GB2312" w:eastAsia="仿宋_GB2312" w:cs="仿宋_GB2312"/>
          <w:color w:val="auto"/>
          <w:sz w:val="32"/>
          <w:szCs w:val="32"/>
          <w:lang w:val="en-US" w:eastAsia="zh-CN"/>
        </w:rPr>
        <w:t>单位无因公出国（境）业务</w:t>
      </w:r>
      <w:r>
        <w:rPr>
          <w:rFonts w:hint="eastAsia" w:ascii="仿宋_GB2312" w:hAnsi="仿宋_GB2312" w:eastAsia="仿宋_GB2312" w:cs="仿宋_GB2312"/>
          <w:color w:val="auto"/>
          <w:sz w:val="32"/>
          <w:szCs w:val="32"/>
          <w:lang w:val="zh-CN"/>
        </w:rPr>
        <w:t>。</w:t>
      </w:r>
    </w:p>
    <w:p w14:paraId="558E2684">
      <w:pPr>
        <w:spacing w:before="100" w:beforeLines="0" w:after="100" w:afterLines="0"/>
        <w:ind w:firstLine="643"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预算数为4.80万元,支出决算为3.50万元,决算数小于预算数的主要原因是</w:t>
      </w:r>
      <w:r>
        <w:rPr>
          <w:rFonts w:hint="eastAsia" w:ascii="仿宋_GB2312" w:hAnsi="仿宋_GB2312" w:eastAsia="仿宋_GB2312" w:cs="仿宋_GB2312"/>
          <w:color w:val="auto"/>
          <w:sz w:val="32"/>
          <w:szCs w:val="32"/>
          <w:lang w:val="en-US" w:eastAsia="zh-CN"/>
        </w:rPr>
        <w:t>实际使用与年初预算相比有变化</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增加0.71</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增长25.42</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主要原因是公车使用频率增加。</w:t>
      </w:r>
    </w:p>
    <w:p w14:paraId="1BCD1440">
      <w:pPr>
        <w:spacing w:before="100" w:beforeLines="0" w:after="100" w:afterLines="0"/>
        <w:ind w:firstLine="643" w:firstLineChars="20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预算数为0.00万元,支出决算为0.00万元,主要原因是</w:t>
      </w:r>
      <w:r>
        <w:rPr>
          <w:rFonts w:hint="eastAsia" w:ascii="仿宋_GB2312" w:hAnsi="仿宋_GB2312" w:eastAsia="仿宋_GB2312" w:cs="仿宋_GB2312"/>
          <w:color w:val="auto"/>
          <w:sz w:val="32"/>
          <w:szCs w:val="32"/>
          <w:lang w:val="en-US" w:eastAsia="zh-CN"/>
        </w:rPr>
        <w:t>无公务用车购置</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zh-CN"/>
        </w:rPr>
        <w:t>主要原因是</w:t>
      </w:r>
      <w:r>
        <w:rPr>
          <w:rFonts w:hint="eastAsia" w:ascii="仿宋_GB2312" w:hAnsi="仿宋_GB2312" w:eastAsia="仿宋_GB2312" w:cs="仿宋_GB2312"/>
          <w:color w:val="auto"/>
          <w:sz w:val="32"/>
          <w:szCs w:val="32"/>
          <w:lang w:val="en-US" w:eastAsia="zh-CN"/>
        </w:rPr>
        <w:t>无公务用车购置。</w:t>
      </w:r>
    </w:p>
    <w:p w14:paraId="5754CE41">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预算数为4.80万元,支出决算为3.50万元,决算数小于预算数的主要原因是</w:t>
      </w:r>
      <w:r>
        <w:rPr>
          <w:rFonts w:hint="eastAsia" w:ascii="仿宋_GB2312" w:hAnsi="仿宋_GB2312" w:eastAsia="仿宋_GB2312" w:cs="仿宋_GB2312"/>
          <w:color w:val="auto"/>
          <w:sz w:val="32"/>
          <w:szCs w:val="32"/>
          <w:lang w:val="en-US" w:eastAsia="zh-CN"/>
        </w:rPr>
        <w:t>实际使用与年初预算相比有变化</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增加0.71</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增长25.42</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主要原因是公车使用频率增加。</w:t>
      </w:r>
    </w:p>
    <w:p w14:paraId="141E564D">
      <w:pPr>
        <w:numPr>
          <w:ilvl w:val="0"/>
          <w:numId w:val="0"/>
        </w:numPr>
        <w:spacing w:before="100" w:beforeLines="0" w:after="100" w:afterLines="0"/>
        <w:ind w:firstLine="643" w:firstLineChars="200"/>
        <w:jc w:val="left"/>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w:t>
      </w:r>
      <w:r>
        <w:rPr>
          <w:rFonts w:hint="eastAsia" w:ascii="仿宋_GB2312" w:hAnsi="仿宋_GB2312" w:eastAsia="仿宋_GB2312" w:cs="仿宋_GB2312"/>
          <w:color w:val="auto"/>
          <w:sz w:val="32"/>
          <w:szCs w:val="32"/>
          <w:lang w:val="en-US" w:eastAsia="zh-CN"/>
        </w:rPr>
        <w:t>0.40</w:t>
      </w:r>
      <w:r>
        <w:rPr>
          <w:rFonts w:hint="eastAsia" w:ascii="仿宋_GB2312" w:hAnsi="仿宋_GB2312" w:eastAsia="仿宋_GB2312" w:cs="仿宋_GB2312"/>
          <w:color w:val="auto"/>
          <w:sz w:val="32"/>
          <w:szCs w:val="32"/>
          <w:lang w:val="zh-CN"/>
        </w:rPr>
        <w:t>万元,支出决算为0.00万元,决算数小于预算数的</w:t>
      </w:r>
      <w:r>
        <w:rPr>
          <w:rFonts w:hint="eastAsia" w:ascii="仿宋_GB2312" w:hAnsi="仿宋_GB2312" w:eastAsia="仿宋_GB2312" w:cs="仿宋_GB2312"/>
          <w:color w:val="auto"/>
          <w:sz w:val="32"/>
          <w:szCs w:val="32"/>
          <w:lang w:val="en-US" w:eastAsia="zh-CN"/>
        </w:rPr>
        <w:t>主要原因是无接待费</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减少0.49</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下降100.0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主要原因是无接待费。</w:t>
      </w:r>
    </w:p>
    <w:p w14:paraId="598422D2">
      <w:pPr>
        <w:numPr>
          <w:ilvl w:val="0"/>
          <w:numId w:val="3"/>
        </w:numPr>
        <w:spacing w:before="100" w:beforeLines="0" w:after="100" w:afterLines="0"/>
        <w:ind w:left="0" w:leftChars="0" w:firstLine="0" w:firstLineChar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14:paraId="556ED34F">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14:paraId="426F3E3C">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14:paraId="163AF741">
      <w:pPr>
        <w:spacing w:before="100" w:beforeLines="0" w:after="100" w:afterLines="0"/>
        <w:jc w:val="left"/>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zh-CN"/>
        </w:rPr>
        <w:t>2023年度本部门机关运行经费支出79.99万元,机关运行经费</w:t>
      </w:r>
      <w:r>
        <w:rPr>
          <w:rFonts w:hint="eastAsia" w:ascii="仿宋_GB2312" w:hAnsi="仿宋_GB2312" w:eastAsia="仿宋_GB2312" w:cs="仿宋_GB2312"/>
          <w:color w:val="auto"/>
          <w:sz w:val="32"/>
          <w:szCs w:val="32"/>
          <w:lang w:val="en-US" w:eastAsia="zh-CN"/>
        </w:rPr>
        <w:t>主要用于开支</w:t>
      </w:r>
      <w:r>
        <w:rPr>
          <w:rFonts w:hint="eastAsia" w:ascii="仿宋_GB2312" w:hAnsi="仿宋_GB2312" w:eastAsia="仿宋_GB2312" w:cs="仿宋_GB2312"/>
          <w:color w:val="auto"/>
          <w:sz w:val="32"/>
          <w:szCs w:val="32"/>
          <w:lang w:val="zh-CN"/>
        </w:rPr>
        <w:t>办公费</w:t>
      </w:r>
      <w:r>
        <w:rPr>
          <w:rFonts w:hint="eastAsia" w:ascii="仿宋_GB2312" w:hAnsi="仿宋_GB2312" w:eastAsia="仿宋_GB2312" w:cs="仿宋_GB2312"/>
          <w:color w:val="auto"/>
          <w:sz w:val="32"/>
          <w:szCs w:val="32"/>
          <w:lang w:val="en-US" w:eastAsia="zh-CN"/>
        </w:rPr>
        <w:t>38.13万元、电费9.88万元、取暖费2.59万元、差旅费4.00万元、劳务费5.9万元、工会经费3.28万元、公务用车运行维护费3.5万元、其他交通费用12.71万元。</w:t>
      </w:r>
    </w:p>
    <w:p w14:paraId="6C3F70F7">
      <w:pPr>
        <w:spacing w:before="100" w:beforeLines="0" w:after="100" w:afterLines="0"/>
        <w:jc w:val="left"/>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zh-CN"/>
        </w:rPr>
        <w:t>机关运行经费较上年决算数较上年决算数减少599.99万元,下降88.24%,主要原因是落实过紧日子要求压减经费支出。本年度会议费支出0.00万元,较上年决算数减少0.0万元,主要原因是</w:t>
      </w:r>
      <w:r>
        <w:rPr>
          <w:rFonts w:hint="eastAsia" w:ascii="仿宋_GB2312" w:hAnsi="仿宋_GB2312" w:eastAsia="仿宋_GB2312" w:cs="仿宋_GB2312"/>
          <w:color w:val="auto"/>
          <w:sz w:val="32"/>
          <w:szCs w:val="32"/>
          <w:lang w:val="en-US" w:eastAsia="zh-CN"/>
        </w:rPr>
        <w:t>无会议费用</w:t>
      </w:r>
      <w:r>
        <w:rPr>
          <w:rFonts w:hint="eastAsia" w:ascii="仿宋_GB2312" w:hAnsi="仿宋_GB2312" w:eastAsia="仿宋_GB2312" w:cs="仿宋_GB2312"/>
          <w:color w:val="auto"/>
          <w:sz w:val="32"/>
          <w:szCs w:val="32"/>
          <w:lang w:val="zh-CN"/>
        </w:rPr>
        <w:t>。本年度培训费支出0.0</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万元,较上年决算数</w:t>
      </w:r>
      <w:r>
        <w:rPr>
          <w:rFonts w:hint="eastAsia" w:ascii="仿宋_GB2312" w:hAnsi="仿宋_GB2312" w:eastAsia="仿宋_GB2312" w:cs="仿宋_GB2312"/>
          <w:color w:val="auto"/>
          <w:sz w:val="32"/>
          <w:szCs w:val="32"/>
          <w:lang w:val="en-US" w:eastAsia="zh-CN"/>
        </w:rPr>
        <w:t>减少</w:t>
      </w:r>
      <w:r>
        <w:rPr>
          <w:rFonts w:hint="eastAsia" w:ascii="仿宋_GB2312" w:hAnsi="仿宋_GB2312" w:eastAsia="仿宋_GB2312" w:cs="仿宋_GB2312"/>
          <w:color w:val="auto"/>
          <w:sz w:val="32"/>
          <w:szCs w:val="32"/>
          <w:lang w:val="zh-CN"/>
        </w:rPr>
        <w:t>加0.0</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万元,主要原因是</w:t>
      </w:r>
      <w:r>
        <w:rPr>
          <w:rFonts w:hint="eastAsia" w:ascii="仿宋_GB2312" w:hAnsi="仿宋_GB2312" w:eastAsia="仿宋_GB2312" w:cs="仿宋_GB2312"/>
          <w:color w:val="auto"/>
          <w:sz w:val="32"/>
          <w:szCs w:val="32"/>
          <w:lang w:val="en-US" w:eastAsia="zh-CN"/>
        </w:rPr>
        <w:t>无培训费</w:t>
      </w:r>
    </w:p>
    <w:p w14:paraId="1D62A085">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14:paraId="312EFB6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我单位2023年度无政府采购相关经费。</w:t>
      </w:r>
    </w:p>
    <w:p w14:paraId="521B1F44">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14:paraId="0B46EDD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5辆,其中,副部(省)级及以上领导用车0辆、主要领导干部用车0辆、机要通信用车0辆、应急保障用车0辆、执法执勤用车0辆,特种专业技术用车0辆,离退休干部用车0辆,其他用车5辆,其他用车主要是用于</w:t>
      </w:r>
      <w:r>
        <w:rPr>
          <w:rFonts w:hint="eastAsia" w:ascii="仿宋_GB2312" w:hAnsi="仿宋_GB2312" w:eastAsia="仿宋_GB2312" w:cs="仿宋_GB2312"/>
          <w:color w:val="auto"/>
          <w:sz w:val="32"/>
          <w:szCs w:val="32"/>
          <w:lang w:val="en-US" w:eastAsia="zh-CN"/>
        </w:rPr>
        <w:t>维护乡镇环境卫生</w:t>
      </w:r>
      <w:r>
        <w:rPr>
          <w:rFonts w:hint="eastAsia" w:ascii="仿宋_GB2312" w:hAnsi="仿宋_GB2312" w:eastAsia="仿宋_GB2312" w:cs="仿宋_GB2312"/>
          <w:color w:val="auto"/>
          <w:sz w:val="32"/>
          <w:szCs w:val="32"/>
          <w:lang w:val="zh-CN"/>
        </w:rPr>
        <w:t>。单价100万元(含)以上设备0台(套)。</w:t>
      </w:r>
    </w:p>
    <w:p w14:paraId="34E94DED">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14:paraId="1E723C5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2BFC7A50">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77FB4726">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14:paraId="461D543B">
      <w:pPr>
        <w:spacing w:before="100" w:beforeLines="0" w:after="100" w:afterLines="0"/>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kern w:val="0"/>
          <w:sz w:val="32"/>
          <w:szCs w:val="32"/>
          <w:lang w:val="en-US" w:eastAsia="zh-CN"/>
        </w:rPr>
        <w:t>我单位2023年支出</w:t>
      </w:r>
      <w:r>
        <w:rPr>
          <w:rFonts w:hint="eastAsia" w:ascii="仿宋_GB2312" w:hAnsi="仿宋_GB2312" w:eastAsia="仿宋_GB2312" w:cs="仿宋_GB2312"/>
          <w:color w:val="auto"/>
          <w:sz w:val="32"/>
          <w:szCs w:val="32"/>
          <w:lang w:val="en-US" w:eastAsia="zh-CN"/>
        </w:rPr>
        <w:t>1428.62万元，从评价情况来看我单位全面完成设定目标值，较好的完成了各项目实施，保障了部门工作高效高质量运行。</w:t>
      </w:r>
    </w:p>
    <w:p w14:paraId="3A8E9FF5">
      <w:pPr>
        <w:numPr>
          <w:ilvl w:val="0"/>
          <w:numId w:val="4"/>
        </w:numPr>
        <w:spacing w:before="100" w:beforeLines="0" w:after="100" w:afterLines="0"/>
        <w:jc w:val="left"/>
        <w:rPr>
          <w:rFonts w:hint="eastAsia" w:ascii="仿宋_GB2312" w:hAnsi="仿宋_GB2312" w:eastAsia="仿宋_GB2312" w:cs="仿宋_GB2312"/>
          <w:color w:val="FF0000"/>
          <w:kern w:val="0"/>
          <w:sz w:val="32"/>
          <w:szCs w:val="32"/>
          <w:lang w:val="en-US"/>
        </w:rPr>
      </w:pPr>
      <w:r>
        <w:rPr>
          <w:rFonts w:hint="eastAsia" w:ascii="仿宋_GB2312" w:hAnsi="仿宋_GB2312" w:eastAsia="仿宋_GB2312" w:cs="仿宋_GB2312"/>
          <w:b/>
          <w:bCs/>
          <w:color w:val="auto"/>
          <w:sz w:val="32"/>
          <w:szCs w:val="32"/>
          <w:lang w:val="zh-CN" w:eastAsia="zh-CN"/>
        </w:rPr>
        <w:t>绩效自评结果</w:t>
      </w:r>
    </w:p>
    <w:p w14:paraId="587EB127">
      <w:pPr>
        <w:numPr>
          <w:ilvl w:val="0"/>
          <w:numId w:val="0"/>
        </w:numPr>
        <w:spacing w:before="100" w:beforeLines="0" w:after="100" w:afterLines="0"/>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highlight w:val="none"/>
          <w:lang w:val="en-US"/>
        </w:rPr>
        <w:t>我部门在</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rPr>
        <w:t>年度部门决算中反映</w:t>
      </w:r>
      <w:r>
        <w:rPr>
          <w:rFonts w:hint="eastAsia" w:ascii="仿宋_GB2312" w:hAnsi="仿宋_GB2312" w:eastAsia="仿宋_GB2312" w:cs="仿宋_GB2312"/>
          <w:color w:val="auto"/>
          <w:kern w:val="0"/>
          <w:sz w:val="32"/>
          <w:szCs w:val="32"/>
          <w:highlight w:val="none"/>
          <w:lang w:val="en-US" w:eastAsia="zh-CN"/>
        </w:rPr>
        <w:t>部门整体支出绩效自评结果。部门整体支出绩效自评情况：根据年初设定的绩效目标，部门整体支出绩效自评得分为91分。合理安排了支出，保障部门工作正常运转，提高了资金利用率。</w:t>
      </w:r>
    </w:p>
    <w:p w14:paraId="32808A99">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14:paraId="09CBF445">
      <w:pPr>
        <w:spacing w:before="100" w:beforeLines="0" w:after="100" w:afterLines="0"/>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详见附件：部门整体绩效目标自评表及自评报告</w:t>
      </w:r>
    </w:p>
    <w:p w14:paraId="180AF3DB">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3F597B3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0C7BBDB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2D1DFC38">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7754907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58BCC31A">
      <w:pPr>
        <w:spacing w:before="100" w:beforeLines="0" w:after="100" w:afterLines="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59A671A3">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1A34A2F5">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69393DF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15F82FE8">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21EE62FB">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65AD5FE3">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3F825F71">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EAC3DAF">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567DB51">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0D5A82B5">
      <w:pPr>
        <w:spacing w:before="100" w:beforeLines="0" w:after="100" w:afterLines="0"/>
        <w:jc w:val="both"/>
        <w:rPr>
          <w:rFonts w:hint="eastAsia" w:ascii="宋体" w:hAnsi="宋体" w:eastAsia="宋体" w:cs="宋体"/>
          <w:color w:val="auto"/>
          <w:sz w:val="24"/>
          <w:szCs w:val="24"/>
          <w:lang w:val="zh-CN"/>
        </w:rPr>
      </w:pPr>
    </w:p>
    <w:p w14:paraId="325E0779">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587123"/>
    <w:multiLevelType w:val="singleLevel"/>
    <w:tmpl w:val="C2587123"/>
    <w:lvl w:ilvl="0" w:tentative="0">
      <w:start w:val="2"/>
      <w:numFmt w:val="chineseCounting"/>
      <w:suff w:val="nothing"/>
      <w:lvlText w:val="%1、"/>
      <w:lvlJc w:val="left"/>
      <w:rPr>
        <w:rFonts w:hint="eastAsia"/>
        <w:color w:val="auto"/>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3CF59D0E"/>
    <w:multiLevelType w:val="singleLevel"/>
    <w:tmpl w:val="3CF59D0E"/>
    <w:lvl w:ilvl="0" w:tentative="0">
      <w:start w:val="1"/>
      <w:numFmt w:val="decimal"/>
      <w:suff w:val="nothing"/>
      <w:lvlText w:val="%1．"/>
      <w:lvlJc w:val="left"/>
      <w:rPr>
        <w:rFonts w:hint="default"/>
        <w:color w:val="auto"/>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wYmI5NTFjMWY1OWYyYWQwOTllNzllY2VmZWM3MTYifQ=="/>
  </w:docVars>
  <w:rsids>
    <w:rsidRoot w:val="00000000"/>
    <w:rsid w:val="0BBC4F4A"/>
    <w:rsid w:val="1AF5438B"/>
    <w:rsid w:val="1D903BBF"/>
    <w:rsid w:val="2E9F2928"/>
    <w:rsid w:val="30DB763A"/>
    <w:rsid w:val="37BB7B83"/>
    <w:rsid w:val="3B4155C9"/>
    <w:rsid w:val="50996D55"/>
    <w:rsid w:val="518B4DFB"/>
    <w:rsid w:val="59170968"/>
    <w:rsid w:val="5A7F0C1E"/>
    <w:rsid w:val="5E753792"/>
    <w:rsid w:val="65FF44E4"/>
    <w:rsid w:val="6E0A5C04"/>
    <w:rsid w:val="72FE715F"/>
    <w:rsid w:val="75377F70"/>
    <w:rsid w:val="75CD655F"/>
    <w:rsid w:val="7A526E2D"/>
    <w:rsid w:val="7BA27CEA"/>
    <w:rsid w:val="7BA354D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9.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470eaea2-e25b-4b2c-a37f-2f38d77bb19b}">
  <ds:schemaRefs/>
</ds:datastoreItem>
</file>

<file path=customXml/itemProps2.xml><?xml version="1.0" encoding="utf-8"?>
<ds:datastoreItem xmlns:ds="http://schemas.openxmlformats.org/officeDocument/2006/customXml" ds:itemID="{6d293f82-a5b6-4d9c-a7fb-c36263633d21}">
  <ds:schemaRefs/>
</ds:datastoreItem>
</file>

<file path=customXml/itemProps3.xml><?xml version="1.0" encoding="utf-8"?>
<ds:datastoreItem xmlns:ds="http://schemas.openxmlformats.org/officeDocument/2006/customXml" ds:itemID="{ce15dd14-188e-461f-9cb3-a1dae64685e7}">
  <ds:schemaRefs/>
</ds:datastoreItem>
</file>

<file path=customXml/itemProps4.xml><?xml version="1.0" encoding="utf-8"?>
<ds:datastoreItem xmlns:ds="http://schemas.openxmlformats.org/officeDocument/2006/customXml" ds:itemID="{7e4640e7-29aa-43d9-b630-36c33a67688a}">
  <ds:schemaRefs/>
</ds:datastoreItem>
</file>

<file path=customXml/itemProps5.xml><?xml version="1.0" encoding="utf-8"?>
<ds:datastoreItem xmlns:ds="http://schemas.openxmlformats.org/officeDocument/2006/customXml" ds:itemID="{d7dd286c-1d79-459e-abd3-0b504f8cccec}">
  <ds:schemaRefs/>
</ds:datastoreItem>
</file>

<file path=customXml/itemProps6.xml><?xml version="1.0" encoding="utf-8"?>
<ds:datastoreItem xmlns:ds="http://schemas.openxmlformats.org/officeDocument/2006/customXml" ds:itemID="{724ed226-e19d-4e00-af61-379f095b2c37}">
  <ds:schemaRefs/>
</ds:datastoreItem>
</file>

<file path=customXml/itemProps7.xml><?xml version="1.0" encoding="utf-8"?>
<ds:datastoreItem xmlns:ds="http://schemas.openxmlformats.org/officeDocument/2006/customXml" ds:itemID="{0dc57fdc-1967-4a9d-9e75-a6e577c3c7c9}">
  <ds:schemaRefs/>
</ds:datastoreItem>
</file>

<file path=customXml/itemProps8.xml><?xml version="1.0" encoding="utf-8"?>
<ds:datastoreItem xmlns:ds="http://schemas.openxmlformats.org/officeDocument/2006/customXml" ds:itemID="{fe24730b-c6e0-457c-be77-455998638b6c}">
  <ds:schemaRefs/>
</ds:datastoreItem>
</file>

<file path=customXml/itemProps9.xml><?xml version="1.0" encoding="utf-8"?>
<ds:datastoreItem xmlns:ds="http://schemas.openxmlformats.org/officeDocument/2006/customXml" ds:itemID="{83fca6c6-e2c4-43da-87b4-ac41d3291e9d}">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5239</Words>
  <Characters>5794</Characters>
  <Lines>0</Lines>
  <Paragraphs>0</Paragraphs>
  <TotalTime>1</TotalTime>
  <ScaleCrop>false</ScaleCrop>
  <LinksUpToDate>false</LinksUpToDate>
  <CharactersWithSpaces>5803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2024-09-13T07:04:08Z</cp:lastPrinted>
  <dcterms:modified xsi:type="dcterms:W3CDTF">2024-09-13T07:04:12Z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B14813043EB34D3D9AC41AED73CCBEAD</vt:lpwstr>
  </property>
</Properties>
</file>