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B8F7B">
      <w:pPr>
        <w:spacing w:before="100" w:beforeLines="0" w:after="100" w:afterLines="0"/>
        <w:jc w:val="center"/>
        <w:rPr>
          <w:rFonts w:hint="eastAsia" w:ascii="宋体" w:hAnsi="宋体"/>
          <w:sz w:val="24"/>
          <w:szCs w:val="24"/>
          <w:lang w:val="zh-CN"/>
        </w:rPr>
      </w:pPr>
    </w:p>
    <w:p w14:paraId="030FCA13">
      <w:pPr>
        <w:spacing w:before="100" w:beforeLines="0" w:after="100" w:afterLines="0"/>
        <w:jc w:val="center"/>
        <w:rPr>
          <w:rFonts w:hint="eastAsia" w:ascii="宋体" w:hAnsi="宋体"/>
          <w:sz w:val="24"/>
          <w:szCs w:val="24"/>
          <w:lang w:val="zh-CN"/>
        </w:rPr>
      </w:pPr>
    </w:p>
    <w:p w14:paraId="0E12DFBB">
      <w:pPr>
        <w:spacing w:before="100" w:beforeLines="0" w:after="100" w:afterLines="0"/>
        <w:jc w:val="center"/>
        <w:rPr>
          <w:rFonts w:hint="eastAsia" w:ascii="宋体" w:hAnsi="宋体"/>
          <w:sz w:val="24"/>
          <w:szCs w:val="24"/>
          <w:lang w:val="zh-CN"/>
        </w:rPr>
      </w:pPr>
    </w:p>
    <w:p w14:paraId="15823A3A">
      <w:pPr>
        <w:spacing w:before="100" w:beforeLines="0" w:after="100" w:afterLines="0"/>
        <w:jc w:val="center"/>
        <w:rPr>
          <w:rFonts w:hint="eastAsia" w:ascii="宋体" w:hAnsi="宋体"/>
          <w:sz w:val="24"/>
          <w:szCs w:val="24"/>
          <w:lang w:val="zh-CN"/>
        </w:rPr>
      </w:pPr>
    </w:p>
    <w:p w14:paraId="3E06247D">
      <w:pPr>
        <w:spacing w:before="100" w:beforeLines="0" w:after="100" w:afterLines="0"/>
        <w:jc w:val="center"/>
        <w:rPr>
          <w:rFonts w:hint="eastAsia" w:ascii="宋体" w:hAnsi="宋体"/>
          <w:sz w:val="24"/>
          <w:szCs w:val="24"/>
          <w:lang w:val="zh-CN"/>
        </w:rPr>
      </w:pPr>
    </w:p>
    <w:p w14:paraId="261B8960">
      <w:pPr>
        <w:spacing w:before="100" w:beforeLines="0" w:after="100" w:afterLines="0"/>
        <w:jc w:val="center"/>
        <w:rPr>
          <w:rFonts w:hint="eastAsia" w:ascii="宋体" w:hAnsi="宋体"/>
          <w:sz w:val="24"/>
          <w:szCs w:val="24"/>
          <w:lang w:val="zh-CN"/>
        </w:rPr>
      </w:pPr>
    </w:p>
    <w:p w14:paraId="192FAEA9">
      <w:pPr>
        <w:spacing w:before="100" w:beforeLines="0" w:after="100" w:afterLines="0"/>
        <w:jc w:val="center"/>
        <w:rPr>
          <w:rFonts w:hint="eastAsia" w:ascii="宋体" w:hAnsi="宋体"/>
          <w:sz w:val="24"/>
          <w:szCs w:val="24"/>
          <w:lang w:val="zh-CN"/>
        </w:rPr>
      </w:pPr>
    </w:p>
    <w:p w14:paraId="5990982B">
      <w:pPr>
        <w:spacing w:before="100" w:beforeLines="0" w:after="100" w:afterLines="0"/>
        <w:jc w:val="center"/>
        <w:rPr>
          <w:rFonts w:hint="eastAsia" w:ascii="宋体" w:hAnsi="宋体"/>
          <w:sz w:val="24"/>
          <w:szCs w:val="24"/>
          <w:lang w:val="zh-CN"/>
        </w:rPr>
      </w:pPr>
    </w:p>
    <w:p w14:paraId="229504A3">
      <w:pPr>
        <w:spacing w:before="100" w:beforeLines="0" w:after="100" w:afterLines="0"/>
        <w:jc w:val="center"/>
        <w:rPr>
          <w:rFonts w:hint="eastAsia" w:ascii="宋体" w:hAnsi="宋体"/>
          <w:sz w:val="24"/>
          <w:szCs w:val="24"/>
          <w:lang w:val="zh-CN"/>
        </w:rPr>
      </w:pPr>
    </w:p>
    <w:p w14:paraId="79F01F23">
      <w:pPr>
        <w:spacing w:before="100" w:beforeLines="0" w:after="100" w:afterLines="0"/>
        <w:jc w:val="center"/>
        <w:rPr>
          <w:rFonts w:hint="eastAsia" w:ascii="宋体" w:hAnsi="宋体"/>
          <w:sz w:val="24"/>
          <w:szCs w:val="24"/>
          <w:lang w:val="zh-CN"/>
        </w:rPr>
      </w:pPr>
    </w:p>
    <w:p w14:paraId="0C9B0E26">
      <w:pPr>
        <w:spacing w:before="100" w:beforeLines="0" w:after="100" w:afterLines="0"/>
        <w:jc w:val="center"/>
        <w:rPr>
          <w:rFonts w:hint="eastAsia" w:ascii="宋体" w:hAnsi="宋体"/>
          <w:sz w:val="24"/>
          <w:szCs w:val="24"/>
          <w:lang w:val="zh-CN"/>
        </w:rPr>
      </w:pPr>
    </w:p>
    <w:p w14:paraId="133BB7D7">
      <w:pPr>
        <w:jc w:val="center"/>
        <w:rPr>
          <w:rFonts w:hint="eastAsia" w:ascii="方正小标宋简体" w:hAnsi="方正小标宋简体" w:eastAsia="方正小标宋简体" w:cs="方正小标宋简体"/>
          <w:sz w:val="44"/>
          <w:szCs w:val="44"/>
          <w:lang w:val="zh-CN" w:eastAsia="zh-CN" w:bidi="ar-SA"/>
        </w:rPr>
      </w:pPr>
    </w:p>
    <w:p w14:paraId="24E4F98E">
      <w:pPr>
        <w:jc w:val="center"/>
        <w:rPr>
          <w:rFonts w:hint="eastAsia" w:ascii="方正小标宋简体" w:hAnsi="方正小标宋简体" w:eastAsia="方正小标宋简体" w:cs="方正小标宋简体"/>
          <w:sz w:val="44"/>
          <w:szCs w:val="44"/>
          <w:lang w:val="zh-CN" w:eastAsia="zh-CN" w:bidi="ar-SA"/>
        </w:rPr>
      </w:pPr>
      <w:r>
        <w:rPr>
          <w:rFonts w:hint="eastAsia" w:ascii="方正小标宋简体" w:hAnsi="方正小标宋简体" w:eastAsia="方正小标宋简体" w:cs="方正小标宋简体"/>
          <w:sz w:val="44"/>
          <w:szCs w:val="44"/>
          <w:lang w:val="zh-CN" w:eastAsia="zh-CN" w:bidi="ar-SA"/>
        </w:rPr>
        <w:t>2023年度</w:t>
      </w:r>
    </w:p>
    <w:p w14:paraId="608C08BF">
      <w:pPr>
        <w:jc w:val="center"/>
        <w:rPr>
          <w:rFonts w:hint="eastAsia" w:ascii="方正小标宋简体" w:hAnsi="方正小标宋简体" w:eastAsia="方正小标宋简体" w:cs="方正小标宋简体"/>
          <w:sz w:val="44"/>
          <w:szCs w:val="44"/>
          <w:lang w:val="zh-CN" w:eastAsia="zh-CN" w:bidi="ar-SA"/>
        </w:rPr>
      </w:pPr>
      <w:r>
        <w:rPr>
          <w:rFonts w:hint="eastAsia" w:ascii="方正小标宋简体" w:hAnsi="方正小标宋简体" w:eastAsia="方正小标宋简体" w:cs="方正小标宋简体"/>
          <w:sz w:val="44"/>
          <w:szCs w:val="44"/>
          <w:lang w:val="zh-CN" w:eastAsia="zh-CN" w:bidi="ar-SA"/>
        </w:rPr>
        <w:t>华池县白马乡卫生院部门决算</w:t>
      </w:r>
    </w:p>
    <w:p w14:paraId="43A94E0C">
      <w:pPr>
        <w:jc w:val="center"/>
        <w:rPr>
          <w:rFonts w:hint="eastAsia" w:ascii="方正小标宋简体" w:hAnsi="方正小标宋简体" w:eastAsia="方正小标宋简体" w:cs="方正小标宋简体"/>
          <w:sz w:val="44"/>
          <w:szCs w:val="44"/>
          <w:lang w:val="zh-CN" w:eastAsia="zh-CN" w:bidi="ar-SA"/>
        </w:rPr>
      </w:pPr>
    </w:p>
    <w:p w14:paraId="125F655E">
      <w:pPr>
        <w:spacing w:before="100" w:beforeLines="0" w:after="100" w:afterLines="0"/>
        <w:jc w:val="center"/>
        <w:rPr>
          <w:rFonts w:hint="eastAsia" w:ascii="宋体" w:hAnsi="宋体"/>
          <w:sz w:val="24"/>
          <w:szCs w:val="24"/>
          <w:lang w:val="zh-CN"/>
        </w:rPr>
      </w:pPr>
    </w:p>
    <w:p w14:paraId="2F37815B">
      <w:pPr>
        <w:spacing w:before="100" w:beforeLines="0" w:after="100" w:afterLines="0"/>
        <w:jc w:val="center"/>
        <w:rPr>
          <w:rFonts w:hint="eastAsia" w:ascii="宋体" w:hAnsi="宋体"/>
          <w:sz w:val="24"/>
          <w:szCs w:val="24"/>
          <w:lang w:val="zh-CN"/>
        </w:rPr>
      </w:pPr>
    </w:p>
    <w:p w14:paraId="750AD1AE">
      <w:pPr>
        <w:spacing w:before="100" w:beforeLines="0" w:after="100" w:afterLines="0"/>
        <w:jc w:val="center"/>
        <w:rPr>
          <w:rFonts w:hint="eastAsia" w:ascii="宋体" w:hAnsi="宋体"/>
          <w:sz w:val="24"/>
          <w:szCs w:val="24"/>
          <w:lang w:val="zh-CN"/>
        </w:rPr>
      </w:pPr>
    </w:p>
    <w:p w14:paraId="57218785">
      <w:pPr>
        <w:spacing w:before="100" w:beforeLines="0" w:after="100" w:afterLines="0"/>
        <w:jc w:val="center"/>
        <w:rPr>
          <w:rFonts w:hint="eastAsia" w:ascii="宋体" w:hAnsi="宋体"/>
          <w:sz w:val="24"/>
          <w:szCs w:val="24"/>
          <w:lang w:val="zh-CN"/>
        </w:rPr>
      </w:pPr>
    </w:p>
    <w:p w14:paraId="267FF4BF">
      <w:pPr>
        <w:spacing w:before="100" w:beforeLines="0" w:after="100" w:afterLines="0"/>
        <w:jc w:val="center"/>
        <w:rPr>
          <w:rFonts w:hint="eastAsia" w:ascii="宋体" w:hAnsi="宋体"/>
          <w:sz w:val="24"/>
          <w:szCs w:val="24"/>
          <w:lang w:val="zh-CN"/>
        </w:rPr>
      </w:pPr>
    </w:p>
    <w:p w14:paraId="0B490813">
      <w:pPr>
        <w:spacing w:before="100" w:beforeLines="0" w:after="100" w:afterLines="0"/>
        <w:jc w:val="center"/>
        <w:rPr>
          <w:rFonts w:hint="eastAsia" w:ascii="宋体" w:hAnsi="宋体"/>
          <w:sz w:val="24"/>
          <w:szCs w:val="24"/>
          <w:lang w:val="zh-CN"/>
        </w:rPr>
      </w:pPr>
    </w:p>
    <w:p w14:paraId="0933B184">
      <w:pPr>
        <w:spacing w:before="100" w:beforeLines="0" w:after="100" w:afterLines="0"/>
        <w:jc w:val="center"/>
        <w:rPr>
          <w:rFonts w:hint="eastAsia" w:ascii="宋体" w:hAnsi="宋体"/>
          <w:sz w:val="24"/>
          <w:szCs w:val="24"/>
          <w:lang w:val="zh-CN"/>
        </w:rPr>
      </w:pPr>
    </w:p>
    <w:p w14:paraId="7FF8E1C1">
      <w:pPr>
        <w:spacing w:before="100" w:beforeLines="0" w:after="100" w:afterLines="0"/>
        <w:jc w:val="center"/>
        <w:rPr>
          <w:rFonts w:hint="eastAsia" w:ascii="宋体" w:hAnsi="宋体"/>
          <w:sz w:val="24"/>
          <w:szCs w:val="24"/>
          <w:lang w:val="zh-CN"/>
        </w:rPr>
      </w:pPr>
    </w:p>
    <w:p w14:paraId="24C1E8A3">
      <w:pPr>
        <w:spacing w:before="100" w:beforeLines="0" w:after="100" w:afterLines="0"/>
        <w:jc w:val="center"/>
        <w:rPr>
          <w:rFonts w:hint="eastAsia" w:ascii="宋体" w:hAnsi="宋体"/>
          <w:sz w:val="24"/>
          <w:szCs w:val="24"/>
          <w:lang w:val="zh-CN"/>
        </w:rPr>
      </w:pPr>
    </w:p>
    <w:p w14:paraId="4DAD3AF4">
      <w:pPr>
        <w:spacing w:before="100" w:beforeLines="0" w:after="100" w:afterLines="0"/>
        <w:jc w:val="both"/>
        <w:rPr>
          <w:rFonts w:hint="eastAsia" w:ascii="宋体" w:hAnsi="宋体"/>
          <w:sz w:val="24"/>
          <w:szCs w:val="24"/>
          <w:lang w:val="zh-CN"/>
        </w:rPr>
      </w:pPr>
    </w:p>
    <w:p w14:paraId="1C1D6800">
      <w:pPr>
        <w:spacing w:before="100" w:beforeLines="0" w:after="100" w:afterLines="0"/>
        <w:jc w:val="center"/>
        <w:rPr>
          <w:rFonts w:hint="eastAsia" w:ascii="宋体" w:hAnsi="宋体"/>
          <w:sz w:val="24"/>
          <w:szCs w:val="24"/>
          <w:lang w:val="zh-CN"/>
        </w:rPr>
      </w:pPr>
    </w:p>
    <w:p w14:paraId="480A7613">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14:paraId="6068571B">
      <w:pPr>
        <w:spacing w:before="100" w:beforeLines="0" w:after="100" w:afterLines="0"/>
        <w:ind w:firstLine="643"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764A3DAA">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1759A5C3">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1B0E03D0">
      <w:pPr>
        <w:spacing w:before="100" w:beforeLines="0" w:after="100" w:afterLines="0"/>
        <w:ind w:firstLine="643"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5A14FFA5">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0D91DD23">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006051AA">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0B59D09F">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04DF412B">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3ECD2AED">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567EDC6B">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3D727B40">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030264D1">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三公</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经费支出决算表</w:t>
      </w:r>
    </w:p>
    <w:p w14:paraId="25D9D502">
      <w:pPr>
        <w:spacing w:before="100" w:beforeLines="0" w:after="100" w:afterLines="0"/>
        <w:ind w:firstLine="643"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58D2F005">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11917CE7">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27191698">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35C18CCA">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78DB2D7D">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28BB528B">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66D647B6">
      <w:pPr>
        <w:spacing w:before="100" w:beforeLines="0" w:after="100" w:afterLines="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4E583AF2">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465716B9">
      <w:pPr>
        <w:spacing w:before="100" w:beforeLines="0" w:after="100" w:afterLines="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3166A92D">
      <w:pPr>
        <w:spacing w:before="100" w:beforeLines="0" w:after="100" w:afterLines="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1DB54ABB">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449FD7F7">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320D4DE7">
      <w:pPr>
        <w:spacing w:before="100" w:beforeLines="0" w:after="100" w:afterLines="0"/>
        <w:ind w:firstLine="643"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06AE6151">
      <w:pPr>
        <w:spacing w:before="100" w:beforeLines="0" w:after="100" w:afterLines="0"/>
        <w:ind w:firstLine="643"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1671B83F">
      <w:pPr>
        <w:spacing w:before="100" w:beforeLines="0" w:after="100" w:afterLines="0"/>
        <w:jc w:val="center"/>
        <w:rPr>
          <w:rFonts w:hint="eastAsia" w:ascii="宋体" w:hAnsi="宋体"/>
          <w:sz w:val="24"/>
          <w:szCs w:val="24"/>
          <w:lang w:val="zh-CN"/>
        </w:rPr>
      </w:pPr>
    </w:p>
    <w:p w14:paraId="28958715">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3DCE1660">
      <w:pPr>
        <w:spacing w:before="100" w:beforeLines="0" w:after="100" w:afterLines="0"/>
        <w:ind w:firstLine="640" w:firstLineChars="200"/>
        <w:jc w:val="left"/>
        <w:rPr>
          <w:rFonts w:hint="eastAsia" w:ascii="黑体" w:hAnsi="黑体" w:eastAsia="黑体" w:cs="黑体"/>
          <w:sz w:val="32"/>
          <w:szCs w:val="32"/>
          <w:lang w:val="zh-CN"/>
        </w:rPr>
      </w:pPr>
      <w:r>
        <w:rPr>
          <w:rFonts w:hint="eastAsia" w:ascii="黑体" w:hAnsi="黑体" w:eastAsia="黑体" w:cs="黑体"/>
          <w:sz w:val="32"/>
          <w:szCs w:val="32"/>
          <w:lang w:val="zh-CN"/>
        </w:rPr>
        <w:t>一、部门职责</w:t>
      </w:r>
    </w:p>
    <w:p w14:paraId="5264B8E5">
      <w:pPr>
        <w:pStyle w:val="2"/>
        <w:keepNext w:val="0"/>
        <w:keepLines w:val="0"/>
        <w:pageBreakBefore w:val="0"/>
        <w:shd w:val="clear" w:color="auto" w:fill="FFFFFF"/>
        <w:kinsoku/>
        <w:wordWrap/>
        <w:overflowPunct/>
        <w:topLinePunct w:val="0"/>
        <w:autoSpaceDE/>
        <w:autoSpaceDN/>
        <w:bidi w:val="0"/>
        <w:adjustRightInd/>
        <w:snapToGrid/>
        <w:spacing w:before="0" w:beforeLines="-2147483648" w:beforeAutospacing="0" w:after="0" w:afterLines="-2147483648" w:afterAutospacing="0"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CN"/>
        </w:rPr>
        <w:t>华池县白马乡卫生院是全额拨款事业单位，隶属于华池县卫生健康局的二级预算单位。主要职责是:开展内、外、妇产、中医各科常见病及多发病的诊治；承担着白马乡及周边的现场应急救护和转诊服务，承担着本辖区居民的十四项基本公共卫生服务工作，如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w:t>
      </w:r>
      <w:r>
        <w:rPr>
          <w:rFonts w:hint="eastAsia" w:ascii="仿宋_GB2312" w:hAnsi="仿宋_GB2312" w:eastAsia="仿宋_GB2312" w:cs="仿宋_GB2312"/>
          <w:color w:val="000000"/>
          <w:sz w:val="32"/>
          <w:szCs w:val="32"/>
          <w:lang w:val="en-US" w:eastAsia="zh-CN"/>
        </w:rPr>
        <w:t>工作</w:t>
      </w:r>
      <w:r>
        <w:rPr>
          <w:rFonts w:hint="eastAsia" w:ascii="仿宋_GB2312" w:hAnsi="仿宋_GB2312" w:eastAsia="仿宋_GB2312" w:cs="仿宋_GB2312"/>
          <w:color w:val="000000"/>
          <w:sz w:val="32"/>
          <w:szCs w:val="32"/>
          <w:lang w:val="zh-CN"/>
        </w:rPr>
        <w:t>。</w:t>
      </w:r>
    </w:p>
    <w:p w14:paraId="1DE25D77">
      <w:pPr>
        <w:spacing w:before="100" w:beforeLines="0" w:after="100" w:afterLines="0"/>
        <w:ind w:firstLine="640" w:firstLineChars="200"/>
        <w:jc w:val="left"/>
        <w:rPr>
          <w:rFonts w:hint="eastAsia" w:ascii="黑体" w:hAnsi="黑体" w:eastAsia="黑体" w:cs="黑体"/>
          <w:color w:val="auto"/>
          <w:sz w:val="32"/>
          <w:szCs w:val="32"/>
          <w:lang w:val="zh-CN"/>
        </w:rPr>
      </w:pPr>
      <w:r>
        <w:rPr>
          <w:rFonts w:hint="eastAsia" w:ascii="黑体" w:hAnsi="黑体" w:eastAsia="黑体" w:cs="黑体"/>
          <w:color w:val="auto"/>
          <w:sz w:val="32"/>
          <w:szCs w:val="32"/>
          <w:lang w:val="zh-CN"/>
        </w:rPr>
        <w:t>二、机构设置</w:t>
      </w:r>
    </w:p>
    <w:p w14:paraId="2F4C06DA">
      <w:pPr>
        <w:pStyle w:val="2"/>
        <w:keepNext w:val="0"/>
        <w:keepLines w:val="0"/>
        <w:pageBreakBefore w:val="0"/>
        <w:shd w:val="clear" w:color="auto" w:fill="FFFFFF"/>
        <w:kinsoku/>
        <w:wordWrap/>
        <w:overflowPunct/>
        <w:topLinePunct w:val="0"/>
        <w:autoSpaceDE/>
        <w:autoSpaceDN/>
        <w:bidi w:val="0"/>
        <w:adjustRightInd/>
        <w:snapToGrid/>
        <w:spacing w:before="0" w:beforeLines="-2147483648" w:beforeAutospacing="0" w:after="0" w:afterLines="-2147483648" w:afterAutospacing="0" w:line="560" w:lineRule="exact"/>
        <w:ind w:firstLine="640" w:firstLineChars="200"/>
        <w:textAlignment w:val="auto"/>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lang w:val="zh-CN"/>
        </w:rPr>
        <w:t>年度，我单位共有编制4名，其中：行政编制0名，参公事业编制0名，事业编制4名，后勤编制0名。财政供养总人数</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lang w:val="zh-CN"/>
        </w:rPr>
        <w:t>人，其中：在职人员</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lang w:val="zh-CN"/>
        </w:rPr>
        <w:t>人，雇佣人员</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lang w:val="zh-CN"/>
        </w:rPr>
        <w:t>人，离退休0人，遗属0人。</w:t>
      </w:r>
    </w:p>
    <w:p w14:paraId="27BD2BF8">
      <w:pPr>
        <w:pStyle w:val="2"/>
        <w:keepNext w:val="0"/>
        <w:keepLines w:val="0"/>
        <w:pageBreakBefore w:val="0"/>
        <w:shd w:val="clear" w:color="auto" w:fill="FFFFFF"/>
        <w:kinsoku/>
        <w:wordWrap/>
        <w:overflowPunct/>
        <w:topLinePunct w:val="0"/>
        <w:autoSpaceDE/>
        <w:autoSpaceDN/>
        <w:bidi w:val="0"/>
        <w:adjustRightInd/>
        <w:snapToGrid/>
        <w:spacing w:before="0" w:beforeLines="-2147483648" w:beforeAutospacing="0" w:after="0" w:afterLines="-2147483648" w:afterAutospacing="0" w:line="560" w:lineRule="exact"/>
        <w:ind w:firstLine="640" w:firstLineChars="200"/>
        <w:textAlignment w:val="auto"/>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华池县白马乡卫生院内设综合门诊、公卫科、化验室、中医门诊、护理办、药房等科室。</w:t>
      </w:r>
    </w:p>
    <w:p w14:paraId="7A33D4D7">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第二部分2023年度部门决算表（见附件）</w:t>
      </w:r>
    </w:p>
    <w:p w14:paraId="542DE06B">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一、收入支出决算总表</w:t>
      </w:r>
    </w:p>
    <w:p w14:paraId="49AF8277">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二、收入决算表</w:t>
      </w:r>
    </w:p>
    <w:p w14:paraId="4F70283C">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三、支出决算表</w:t>
      </w:r>
    </w:p>
    <w:p w14:paraId="1C3528D8">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四、财政拨款收入支出决算总表</w:t>
      </w:r>
    </w:p>
    <w:p w14:paraId="3B5E4E4C">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五、一般公共预算财政拨款支出决算表</w:t>
      </w:r>
    </w:p>
    <w:p w14:paraId="07149EF9">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六、一般公共预算财政拨款基本支出决算明细表</w:t>
      </w:r>
    </w:p>
    <w:p w14:paraId="435BF134">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七、政府性基金预算财政拨款收入支出决算表</w:t>
      </w:r>
    </w:p>
    <w:p w14:paraId="6F8C2700">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八、国有资本经营预算财政拨款支出决算表</w:t>
      </w:r>
    </w:p>
    <w:p w14:paraId="1DD8D8BF">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九、财政拨款</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三公</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经费支出决算表</w:t>
      </w:r>
    </w:p>
    <w:p w14:paraId="51468965">
      <w:pPr>
        <w:spacing w:before="100" w:beforeLines="0" w:after="100" w:afterLines="0"/>
        <w:jc w:val="center"/>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3646E640">
      <w:pPr>
        <w:spacing w:before="100" w:beforeLines="0" w:after="100" w:afterLines="0"/>
        <w:ind w:firstLine="643" w:firstLineChars="200"/>
        <w:jc w:val="left"/>
        <w:rPr>
          <w:rFonts w:hint="eastAsia" w:ascii="宋体" w:hAnsi="宋体"/>
          <w:b/>
          <w:bCs/>
          <w:color w:val="auto"/>
          <w:sz w:val="24"/>
          <w:szCs w:val="24"/>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14:paraId="52C987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645"/>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174.61万元。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减少10.83万元,下降5.84%。</w:t>
      </w:r>
      <w:r>
        <w:rPr>
          <w:rFonts w:hint="eastAsia" w:ascii="仿宋_GB2312" w:hAnsi="仿宋_GB2312" w:eastAsia="仿宋_GB2312" w:cs="仿宋_GB2312"/>
          <w:color w:val="auto"/>
          <w:sz w:val="32"/>
          <w:szCs w:val="32"/>
          <w:lang w:val="en-US" w:eastAsia="zh-CN"/>
        </w:rPr>
        <w:t>主要原因是：</w:t>
      </w:r>
      <w:r>
        <w:rPr>
          <w:rFonts w:hint="eastAsia" w:ascii="仿宋_GB2312" w:hAnsi="仿宋_GB2312" w:eastAsia="仿宋_GB2312" w:cs="仿宋_GB2312"/>
          <w:color w:val="auto"/>
          <w:sz w:val="32"/>
          <w:szCs w:val="32"/>
          <w:lang w:val="zh-CN"/>
        </w:rPr>
        <w:t>1.由于</w:t>
      </w:r>
      <w:r>
        <w:rPr>
          <w:rFonts w:hint="eastAsia" w:ascii="仿宋_GB2312" w:hAnsi="仿宋_GB2312" w:eastAsia="仿宋_GB2312" w:cs="仿宋_GB2312"/>
          <w:color w:val="auto"/>
          <w:sz w:val="32"/>
          <w:szCs w:val="32"/>
          <w:lang w:val="en-US" w:eastAsia="zh-CN"/>
        </w:rPr>
        <w:t>建筑业务楼的</w:t>
      </w:r>
      <w:r>
        <w:rPr>
          <w:rFonts w:hint="eastAsia" w:ascii="仿宋_GB2312" w:hAnsi="仿宋_GB2312" w:eastAsia="仿宋_GB2312" w:cs="仿宋_GB2312"/>
          <w:color w:val="auto"/>
          <w:sz w:val="32"/>
          <w:szCs w:val="32"/>
          <w:lang w:val="zh-CN"/>
        </w:rPr>
        <w:t>影响，业务收入与支出均下降；2.工作人员调动。</w:t>
      </w:r>
    </w:p>
    <w:p w14:paraId="69C278D5">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14:paraId="3355A3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645"/>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2023年度收入合计174.61万元,其中：财政拨款收入174.61万元,占100.00%。</w:t>
      </w:r>
    </w:p>
    <w:p w14:paraId="119A995F">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14:paraId="1954D2A6">
      <w:pPr>
        <w:spacing w:before="100" w:beforeLines="0" w:after="100" w:afterLines="0"/>
        <w:jc w:val="left"/>
        <w:rPr>
          <w:rFonts w:hint="eastAsia" w:ascii="楷体_GB2312" w:hAnsi="楷体_GB2312" w:eastAsia="楷体_GB2312" w:cs="楷体_GB2312"/>
          <w:color w:val="auto"/>
          <w:kern w:val="0"/>
          <w:sz w:val="32"/>
          <w:szCs w:val="32"/>
          <w:lang w:val="zh-CN" w:eastAsia="zh-CN" w:bidi="ar"/>
        </w:rPr>
      </w:pPr>
      <w:r>
        <w:rPr>
          <w:rFonts w:hint="eastAsia" w:ascii="仿宋_GB2312" w:hAnsi="仿宋_GB2312" w:eastAsia="仿宋_GB2312" w:cs="仿宋_GB2312"/>
          <w:color w:val="auto"/>
          <w:kern w:val="0"/>
          <w:sz w:val="32"/>
          <w:szCs w:val="32"/>
          <w:lang w:val="zh-CN" w:eastAsia="zh-CN" w:bidi="ar"/>
        </w:rPr>
        <w:t>2023年度支出合计174.61万元,其中：基本支出174.61万元,占100.00%。</w:t>
      </w:r>
    </w:p>
    <w:p w14:paraId="6ECFCAD3">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14:paraId="229F5C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645"/>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174.61万元。与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年相比,各减少10.83万元,下降5.84%。</w:t>
      </w:r>
      <w:r>
        <w:rPr>
          <w:rFonts w:hint="eastAsia" w:ascii="仿宋_GB2312" w:hAnsi="仿宋_GB2312" w:eastAsia="仿宋_GB2312" w:cs="仿宋_GB2312"/>
          <w:color w:val="auto"/>
          <w:sz w:val="32"/>
          <w:szCs w:val="32"/>
          <w:lang w:val="en-US" w:eastAsia="zh-CN"/>
        </w:rPr>
        <w:t>主要原因是：</w:t>
      </w:r>
      <w:r>
        <w:rPr>
          <w:rFonts w:hint="eastAsia" w:ascii="仿宋_GB2312" w:hAnsi="仿宋_GB2312" w:eastAsia="仿宋_GB2312" w:cs="仿宋_GB2312"/>
          <w:color w:val="auto"/>
          <w:sz w:val="32"/>
          <w:szCs w:val="32"/>
          <w:lang w:val="zh-CN"/>
        </w:rPr>
        <w:t>1.由于</w:t>
      </w:r>
      <w:r>
        <w:rPr>
          <w:rFonts w:hint="eastAsia" w:ascii="仿宋_GB2312" w:hAnsi="仿宋_GB2312" w:eastAsia="仿宋_GB2312" w:cs="仿宋_GB2312"/>
          <w:color w:val="auto"/>
          <w:sz w:val="32"/>
          <w:szCs w:val="32"/>
          <w:lang w:val="en-US" w:eastAsia="zh-CN"/>
        </w:rPr>
        <w:t>建筑业务楼的</w:t>
      </w:r>
      <w:r>
        <w:rPr>
          <w:rFonts w:hint="eastAsia" w:ascii="仿宋_GB2312" w:hAnsi="仿宋_GB2312" w:eastAsia="仿宋_GB2312" w:cs="仿宋_GB2312"/>
          <w:color w:val="auto"/>
          <w:sz w:val="32"/>
          <w:szCs w:val="32"/>
          <w:lang w:val="zh-CN"/>
        </w:rPr>
        <w:t>影响，业务收入与支出均下降；2.工作人员调动。</w:t>
      </w:r>
    </w:p>
    <w:p w14:paraId="5A906ADB">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14:paraId="492015AC">
      <w:pPr>
        <w:numPr>
          <w:ilvl w:val="0"/>
          <w:numId w:val="0"/>
        </w:numPr>
        <w:spacing w:before="100" w:beforeLines="0" w:after="100" w:afterLines="0"/>
        <w:ind w:leftChars="0"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2"/>
          <w:szCs w:val="32"/>
          <w:lang w:val="zh-CN"/>
        </w:rPr>
        <w:t>83.10万元,支出决算为174.61万元,完成年初预算的210.12%。其中：</w:t>
      </w:r>
    </w:p>
    <w:p w14:paraId="1014A076">
      <w:pPr>
        <w:numPr>
          <w:ilvl w:val="0"/>
          <w:numId w:val="0"/>
        </w:numPr>
        <w:spacing w:before="100" w:beforeLines="0" w:after="100" w:afterLines="0"/>
        <w:ind w:firstLine="643" w:firstLineChars="200"/>
        <w:jc w:val="left"/>
        <w:rPr>
          <w:rFonts w:hint="eastAsia" w:ascii="宋体" w:hAnsi="宋体"/>
          <w:color w:val="auto"/>
          <w:sz w:val="24"/>
          <w:szCs w:val="24"/>
          <w:lang w:val="zh-CN"/>
        </w:rPr>
      </w:pPr>
      <w:r>
        <w:rPr>
          <w:rFonts w:hint="eastAsia" w:ascii="仿宋_GB2312" w:hAnsi="仿宋_GB2312" w:eastAsia="仿宋_GB2312" w:cs="仿宋_GB2312"/>
          <w:b/>
          <w:color w:val="auto"/>
          <w:sz w:val="32"/>
          <w:szCs w:val="32"/>
          <w:lang w:val="en-US" w:eastAsia="zh-CN"/>
        </w:rPr>
        <w:t>1.</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年初预算数为9.42万元,支出决算为10.83万元,完成年初预算的114.94%,决算数大于预算数的主要原因是</w:t>
      </w:r>
      <w:r>
        <w:rPr>
          <w:rFonts w:hint="eastAsia" w:ascii="仿宋_GB2312" w:hAnsi="仿宋_GB2312" w:eastAsia="仿宋_GB2312" w:cs="仿宋_GB2312"/>
          <w:color w:val="auto"/>
          <w:sz w:val="32"/>
          <w:szCs w:val="32"/>
          <w:lang w:val="en-US" w:eastAsia="zh-CN"/>
        </w:rPr>
        <w:t>人员的分配及调动</w:t>
      </w:r>
      <w:r>
        <w:rPr>
          <w:rFonts w:hint="eastAsia" w:ascii="仿宋_GB2312" w:hAnsi="仿宋_GB2312" w:eastAsia="仿宋_GB2312" w:cs="仿宋_GB2312"/>
          <w:color w:val="auto"/>
          <w:sz w:val="32"/>
          <w:szCs w:val="32"/>
          <w:lang w:val="zh-CN"/>
        </w:rPr>
        <w:t>。</w:t>
      </w:r>
    </w:p>
    <w:p w14:paraId="7B4A06C9">
      <w:pPr>
        <w:numPr>
          <w:ilvl w:val="0"/>
          <w:numId w:val="0"/>
        </w:numPr>
        <w:spacing w:before="100" w:beforeLines="0" w:after="100" w:afterLines="0"/>
        <w:ind w:firstLine="643" w:firstLineChars="200"/>
        <w:jc w:val="left"/>
        <w:rPr>
          <w:rFonts w:hint="eastAsia" w:ascii="宋体" w:hAnsi="宋体"/>
          <w:color w:val="FF0000"/>
          <w:sz w:val="24"/>
          <w:szCs w:val="24"/>
          <w:lang w:val="en-US" w:eastAsia="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年初预算数为73.68万元,支出决算为163.78万元,完成年初预算的222.28%,决算数大于预算数的主要原因是</w:t>
      </w:r>
      <w:r>
        <w:rPr>
          <w:rFonts w:hint="eastAsia" w:ascii="仿宋_GB2312" w:hAnsi="仿宋_GB2312" w:eastAsia="仿宋_GB2312" w:cs="仿宋_GB2312"/>
          <w:color w:val="auto"/>
          <w:sz w:val="32"/>
          <w:szCs w:val="32"/>
          <w:lang w:val="en-US" w:eastAsia="zh-CN"/>
        </w:rPr>
        <w:t>支出增加。</w:t>
      </w:r>
    </w:p>
    <w:p w14:paraId="5E75B8AD">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14:paraId="18A64045">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2023年度一般公共预算财政拨款基本支出174.61万元。其中：</w:t>
      </w:r>
    </w:p>
    <w:p w14:paraId="43746B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ind w:right="0"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141.77万元,较上年决算数增加49.81万元,增长54.16%,主要原因是：</w:t>
      </w:r>
      <w:r>
        <w:rPr>
          <w:rFonts w:hint="eastAsia" w:ascii="仿宋_GB2312" w:hAnsi="仿宋_GB2312" w:eastAsia="仿宋_GB2312" w:cs="仿宋_GB2312"/>
          <w:color w:val="auto"/>
          <w:sz w:val="32"/>
          <w:szCs w:val="32"/>
          <w:lang w:val="en-US" w:eastAsia="zh-CN"/>
        </w:rPr>
        <w:t>1.紧需人才得引进及三支一扶人员的分配</w:t>
      </w:r>
      <w:r>
        <w:rPr>
          <w:rFonts w:hint="eastAsia" w:ascii="仿宋_GB2312" w:hAnsi="仿宋_GB2312" w:eastAsia="仿宋_GB2312" w:cs="仿宋_GB2312"/>
          <w:color w:val="auto"/>
          <w:sz w:val="32"/>
          <w:szCs w:val="32"/>
          <w:lang w:val="zh-CN"/>
        </w:rPr>
        <w:t>。人员经费用途主要包括基本工资、津贴补贴、奖金、绩效工资、机关事业单位基本养老保险缴费、职业年金缴费、其他社会保障缴费、其他工资福利支出、生活补助。</w:t>
      </w:r>
    </w:p>
    <w:p w14:paraId="44483C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ind w:right="0"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b w:val="0"/>
          <w:bCs/>
          <w:color w:val="auto"/>
          <w:sz w:val="32"/>
          <w:szCs w:val="32"/>
          <w:lang w:val="zh-CN"/>
        </w:rPr>
        <w:t>3</w:t>
      </w:r>
      <w:r>
        <w:rPr>
          <w:rFonts w:hint="eastAsia" w:ascii="仿宋_GB2312" w:hAnsi="仿宋_GB2312" w:eastAsia="仿宋_GB2312" w:cs="仿宋_GB2312"/>
          <w:color w:val="auto"/>
          <w:sz w:val="32"/>
          <w:szCs w:val="32"/>
          <w:lang w:val="zh-CN"/>
        </w:rPr>
        <w:t>2.84万元,较上年决算数增加17.19万元,增长109.77%,主要原因是:1.</w:t>
      </w:r>
      <w:r>
        <w:rPr>
          <w:rFonts w:hint="eastAsia" w:ascii="仿宋_GB2312" w:hAnsi="仿宋_GB2312" w:eastAsia="仿宋_GB2312" w:cs="仿宋_GB2312"/>
          <w:color w:val="auto"/>
          <w:sz w:val="32"/>
          <w:szCs w:val="32"/>
          <w:lang w:val="en-US" w:eastAsia="zh-CN"/>
        </w:rPr>
        <w:t>公卫人员工资的调整</w:t>
      </w:r>
      <w:r>
        <w:rPr>
          <w:rFonts w:hint="eastAsia" w:ascii="仿宋_GB2312" w:hAnsi="仿宋_GB2312" w:eastAsia="仿宋_GB2312" w:cs="仿宋_GB2312"/>
          <w:color w:val="auto"/>
          <w:sz w:val="32"/>
          <w:szCs w:val="32"/>
          <w:lang w:val="zh-CN"/>
        </w:rPr>
        <w:t>；2.工作人员调动。公用经费用途主要包括办公费、印刷费、电费、邮电费、取暖费、差旅费、维修费、专用材料费、劳务费、工会经费、福利费。</w:t>
      </w:r>
    </w:p>
    <w:p w14:paraId="5E5F6576">
      <w:pPr>
        <w:numPr>
          <w:ilvl w:val="0"/>
          <w:numId w:val="0"/>
        </w:num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七、</w:t>
      </w:r>
      <w:r>
        <w:rPr>
          <w:rFonts w:hint="eastAsia" w:ascii="仿宋_GB2312" w:hAnsi="仿宋_GB2312" w:eastAsia="仿宋_GB2312" w:cs="仿宋_GB2312"/>
          <w:b/>
          <w:bCs/>
          <w:color w:val="auto"/>
          <w:sz w:val="32"/>
          <w:szCs w:val="32"/>
          <w:lang w:val="zh-CN" w:eastAsia="zh-CN"/>
        </w:rPr>
        <w:t>政府性基金预算财政拨款收支决算情况说明</w:t>
      </w:r>
    </w:p>
    <w:p w14:paraId="1D91E1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640" w:firstLineChars="200"/>
        <w:jc w:val="left"/>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lang w:val="zh-CN"/>
        </w:rPr>
        <w:t>单位2023年度无政府性基金收入,也没有使用政府性基金安排的支出。</w:t>
      </w:r>
    </w:p>
    <w:p w14:paraId="15D17ECD">
      <w:pPr>
        <w:spacing w:before="100" w:beforeLines="0" w:after="100" w:afterLines="0"/>
        <w:ind w:firstLine="643" w:firstLineChars="200"/>
        <w:jc w:val="left"/>
        <w:rPr>
          <w:rFonts w:hint="eastAsia" w:ascii="宋体" w:hAnsi="宋体"/>
          <w:b/>
          <w:bCs/>
          <w:color w:val="auto"/>
          <w:sz w:val="24"/>
          <w:szCs w:val="24"/>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14:paraId="7AF3A4C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w:t>
      </w:r>
      <w:r>
        <w:rPr>
          <w:rFonts w:hint="eastAsia" w:ascii="仿宋_GB2312" w:hAnsi="仿宋_GB2312" w:eastAsia="仿宋_GB2312" w:cs="仿宋_GB2312"/>
          <w:color w:val="auto"/>
          <w:sz w:val="32"/>
          <w:szCs w:val="32"/>
          <w:lang w:val="en-US" w:eastAsia="zh-CN"/>
        </w:rPr>
        <w:t>本单位无</w:t>
      </w:r>
      <w:r>
        <w:rPr>
          <w:rFonts w:hint="eastAsia" w:ascii="仿宋_GB2312" w:hAnsi="仿宋_GB2312" w:eastAsia="仿宋_GB2312" w:cs="仿宋_GB2312"/>
          <w:color w:val="auto"/>
          <w:sz w:val="32"/>
          <w:szCs w:val="32"/>
          <w:lang w:val="zh-CN"/>
        </w:rPr>
        <w:t>国有资本经营预算财政拨款本年支出。</w:t>
      </w:r>
    </w:p>
    <w:p w14:paraId="36C3DD11">
      <w:pPr>
        <w:spacing w:before="100" w:beforeLines="0" w:after="100" w:afterLines="0"/>
        <w:ind w:firstLine="643" w:firstLineChars="200"/>
        <w:jc w:val="left"/>
        <w:rPr>
          <w:rFonts w:hint="eastAsia" w:ascii="宋体" w:hAnsi="宋体"/>
          <w:b/>
          <w:bCs/>
          <w:color w:val="auto"/>
          <w:sz w:val="24"/>
          <w:szCs w:val="24"/>
          <w:lang w:val="zh-CN" w:eastAsia="zh-CN"/>
        </w:rPr>
      </w:pP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14:paraId="0043B5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right="0" w:firstLine="640" w:firstLineChars="200"/>
        <w:jc w:val="left"/>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我单位属于基层医疗卫生机构,财政未保障我单位“三公”经费。</w:t>
      </w:r>
    </w:p>
    <w:p w14:paraId="303D6E6F">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14:paraId="1EFA3FBA">
      <w:pPr>
        <w:spacing w:before="100" w:beforeLines="0" w:after="100" w:afterLines="0"/>
        <w:ind w:firstLine="640" w:firstLineChars="200"/>
        <w:jc w:val="left"/>
        <w:rPr>
          <w:rFonts w:hint="eastAsia" w:ascii="宋体" w:hAnsi="宋体"/>
          <w:color w:val="auto"/>
          <w:sz w:val="24"/>
          <w:szCs w:val="24"/>
          <w:lang w:val="zh-CN"/>
        </w:rPr>
      </w:pPr>
      <w:r>
        <w:rPr>
          <w:rFonts w:hint="eastAsia" w:ascii="仿宋_GB2312" w:hAnsi="仿宋_GB2312" w:eastAsia="仿宋_GB2312" w:cs="仿宋_GB2312"/>
          <w:color w:val="auto"/>
          <w:sz w:val="32"/>
          <w:szCs w:val="32"/>
          <w:lang w:val="zh-CN"/>
        </w:rPr>
        <w:t>2023年度“三公”经费支出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预算数为3.12万元,支出决算为2.63万元,决算数小于预算数的主要原因是减少出车次数，缩减支出,</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增加1.8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增长216.57</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本年急诊病人增多</w:t>
      </w:r>
      <w:r>
        <w:rPr>
          <w:rFonts w:hint="eastAsia" w:ascii="仿宋_GB2312" w:hAnsi="仿宋_GB2312" w:eastAsia="仿宋_GB2312" w:cs="仿宋_GB2312"/>
          <w:color w:val="auto"/>
          <w:sz w:val="32"/>
          <w:szCs w:val="32"/>
          <w:lang w:val="zh-CN"/>
        </w:rPr>
        <w:t>。</w:t>
      </w:r>
    </w:p>
    <w:p w14:paraId="4C3AE58C">
      <w:pPr>
        <w:numPr>
          <w:ilvl w:val="0"/>
          <w:numId w:val="0"/>
        </w:numPr>
        <w:spacing w:before="100" w:beforeLines="0" w:after="100" w:afterLines="0"/>
        <w:ind w:firstLine="643" w:firstLineChars="20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auto"/>
          <w:sz w:val="32"/>
          <w:szCs w:val="32"/>
          <w:lang w:val="en-US" w:eastAsia="zh-CN"/>
        </w:rPr>
        <w:t>二</w:t>
      </w:r>
      <w:r>
        <w:rPr>
          <w:rFonts w:hint="eastAsia" w:ascii="仿宋_GB2312" w:hAnsi="仿宋_GB2312" w:eastAsia="仿宋_GB2312" w:cs="仿宋_GB2312"/>
          <w:b/>
          <w:color w:val="auto"/>
          <w:sz w:val="32"/>
          <w:szCs w:val="32"/>
          <w:lang w:val="zh-CN"/>
        </w:rPr>
        <w:t>)“三公”经费财政拨款支出决算具体情况说明</w:t>
      </w:r>
    </w:p>
    <w:p w14:paraId="4DAEAF57">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无变化。</w:t>
      </w:r>
    </w:p>
    <w:p w14:paraId="05E0E1DE">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预算数为3.12万元,支出决算为2.63万元,决算数小于预算数的主要原因是减少出车次数，缩减支出,</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增加1.8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增长216.57</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本年急诊病人增多</w:t>
      </w:r>
      <w:r>
        <w:rPr>
          <w:rFonts w:hint="eastAsia" w:ascii="仿宋_GB2312" w:hAnsi="仿宋_GB2312" w:eastAsia="仿宋_GB2312" w:cs="仿宋_GB2312"/>
          <w:color w:val="auto"/>
          <w:sz w:val="32"/>
          <w:szCs w:val="32"/>
          <w:lang w:val="zh-CN"/>
        </w:rPr>
        <w:t>。</w:t>
      </w:r>
    </w:p>
    <w:p w14:paraId="5128569C">
      <w:pPr>
        <w:spacing w:before="100" w:beforeLines="0" w:after="100" w:afterLines="0"/>
        <w:ind w:firstLine="643"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其中：公务用车购置费</w:t>
      </w:r>
      <w:r>
        <w:rPr>
          <w:rFonts w:hint="eastAsia" w:ascii="仿宋_GB2312" w:hAnsi="仿宋_GB2312" w:eastAsia="仿宋_GB2312" w:cs="仿宋_GB2312"/>
          <w:color w:val="auto"/>
          <w:sz w:val="32"/>
          <w:szCs w:val="32"/>
          <w:lang w:val="zh-CN"/>
        </w:rPr>
        <w:t>全年预算数为</w:t>
      </w:r>
      <w:r>
        <w:rPr>
          <w:rFonts w:hint="eastAsia" w:ascii="仿宋_GB2312" w:hAnsi="仿宋_GB2312" w:eastAsia="仿宋_GB2312" w:cs="仿宋_GB2312"/>
          <w:color w:val="auto"/>
          <w:sz w:val="32"/>
          <w:szCs w:val="32"/>
          <w:lang w:val="en-US" w:eastAsia="zh-CN"/>
        </w:rPr>
        <w:t>0.00万元，支出决算0.00万元，较上年决算数减少0.0万元，下降0%。</w:t>
      </w:r>
    </w:p>
    <w:p w14:paraId="62E461DB">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bookmarkStart w:id="0" w:name="_GoBack"/>
      <w:bookmarkEnd w:id="0"/>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预算数为3.12万元,支出决算为2.63万元,决算数小于预算数的主要原因是减少出车次数，缩减支出,</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增加1.8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增长216.57</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本年急诊病人增多</w:t>
      </w:r>
      <w:r>
        <w:rPr>
          <w:rFonts w:hint="eastAsia" w:ascii="仿宋_GB2312" w:hAnsi="仿宋_GB2312" w:eastAsia="仿宋_GB2312" w:cs="仿宋_GB2312"/>
          <w:color w:val="auto"/>
          <w:sz w:val="32"/>
          <w:szCs w:val="32"/>
          <w:lang w:val="zh-CN"/>
        </w:rPr>
        <w:t>。</w:t>
      </w:r>
    </w:p>
    <w:p w14:paraId="0D131C7C">
      <w:pPr>
        <w:numPr>
          <w:ilvl w:val="0"/>
          <w:numId w:val="0"/>
        </w:numPr>
        <w:spacing w:before="100" w:beforeLines="0" w:after="100" w:afterLines="0"/>
        <w:ind w:firstLine="643" w:firstLineChars="20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年预算数为0.00万元,支出决算为0.00万元,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相比无变化。</w:t>
      </w:r>
    </w:p>
    <w:p w14:paraId="66570EA6">
      <w:pPr>
        <w:numPr>
          <w:ilvl w:val="0"/>
          <w:numId w:val="0"/>
        </w:numPr>
        <w:spacing w:before="100" w:beforeLines="0" w:after="100" w:afterLines="0"/>
        <w:ind w:firstLine="643" w:firstLineChars="20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lang w:val="zh-CN"/>
        </w:rPr>
        <w:t>)“三公”经费财政拨款支出决算实物量情况</w:t>
      </w:r>
    </w:p>
    <w:p w14:paraId="15A4C2E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个团组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为1辆；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14:paraId="261E2275">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14:paraId="2D6AD7A3">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w:t>
      </w:r>
      <w:r>
        <w:rPr>
          <w:rFonts w:hint="eastAsia" w:ascii="仿宋_GB2312" w:hAnsi="仿宋_GB2312" w:eastAsia="仿宋_GB2312" w:cs="仿宋_GB2312"/>
          <w:color w:val="auto"/>
          <w:sz w:val="32"/>
          <w:szCs w:val="32"/>
          <w:lang w:val="en-US" w:eastAsia="zh-CN"/>
        </w:rPr>
        <w:t>单位无</w:t>
      </w:r>
      <w:r>
        <w:rPr>
          <w:rFonts w:hint="eastAsia" w:ascii="仿宋_GB2312" w:hAnsi="仿宋_GB2312" w:eastAsia="仿宋_GB2312" w:cs="仿宋_GB2312"/>
          <w:color w:val="auto"/>
          <w:sz w:val="32"/>
          <w:szCs w:val="32"/>
          <w:lang w:val="zh-CN"/>
        </w:rPr>
        <w:t>机关运行经费支出。</w:t>
      </w:r>
    </w:p>
    <w:p w14:paraId="64402D25">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14:paraId="38AAD33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2023年度本单位无政府采购支出。</w:t>
      </w:r>
    </w:p>
    <w:p w14:paraId="2C21FFCD">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14:paraId="3F84B668">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截至2023年12月31日,本部门共有车辆1辆,其中其他用车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zh-CN"/>
        </w:rPr>
        <w:t>辆,其他用车主要是用于</w:t>
      </w:r>
      <w:r>
        <w:rPr>
          <w:rFonts w:hint="eastAsia" w:ascii="仿宋_GB2312" w:hAnsi="仿宋_GB2312" w:eastAsia="仿宋_GB2312" w:cs="仿宋_GB2312"/>
          <w:color w:val="auto"/>
          <w:sz w:val="32"/>
          <w:szCs w:val="32"/>
          <w:lang w:val="en-US" w:eastAsia="zh-CN"/>
        </w:rPr>
        <w:t>转运急救病人</w:t>
      </w:r>
      <w:r>
        <w:rPr>
          <w:rFonts w:hint="eastAsia" w:ascii="仿宋_GB2312" w:hAnsi="仿宋_GB2312" w:eastAsia="仿宋_GB2312" w:cs="仿宋_GB2312"/>
          <w:color w:val="auto"/>
          <w:sz w:val="32"/>
          <w:szCs w:val="32"/>
          <w:lang w:val="zh-CN"/>
        </w:rPr>
        <w:t>。</w:t>
      </w:r>
    </w:p>
    <w:p w14:paraId="07606C4A">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14:paraId="2DA0856A">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21899094">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14:paraId="72EF2F1E">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14:paraId="09E545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645"/>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kern w:val="0"/>
          <w:sz w:val="32"/>
          <w:szCs w:val="32"/>
          <w:lang w:val="en-US"/>
        </w:rPr>
        <w:t>根据预算绩效管理要求,本部门对</w:t>
      </w: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lang w:val="en-US"/>
        </w:rPr>
        <w:t>年度一般公共预算项目支出全面开展绩效自评,其中,涉及资金</w:t>
      </w:r>
      <w:r>
        <w:rPr>
          <w:rFonts w:hint="eastAsia" w:ascii="仿宋_GB2312" w:hAnsi="仿宋_GB2312" w:eastAsia="仿宋_GB2312" w:cs="仿宋_GB2312"/>
          <w:color w:val="auto"/>
          <w:sz w:val="32"/>
          <w:szCs w:val="32"/>
          <w:lang w:val="zh-CN"/>
        </w:rPr>
        <w:t>174.61万元</w:t>
      </w:r>
      <w:r>
        <w:rPr>
          <w:rFonts w:hint="eastAsia" w:ascii="仿宋_GB2312" w:hAnsi="仿宋_GB2312" w:eastAsia="仿宋_GB2312" w:cs="仿宋_GB2312"/>
          <w:color w:val="000000"/>
          <w:kern w:val="0"/>
          <w:sz w:val="32"/>
          <w:szCs w:val="32"/>
          <w:lang w:val="en-US"/>
        </w:rPr>
        <w:t>,占一般公共预算项目支出总额的</w:t>
      </w: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lang w:val="en-US"/>
        </w:rPr>
        <w:t>%。从评价情况来看为规范卫生院资金管理，牢固树立预算绩效理念，强化支出责任，提高资金使用效益，我院组织人员对2022年整体支出进行了绩效评价，自评结果为优，本年度支出合理。</w:t>
      </w:r>
    </w:p>
    <w:p w14:paraId="48CBF9C3">
      <w:pPr>
        <w:spacing w:before="100" w:beforeLines="0" w:after="100" w:afterLines="0"/>
        <w:ind w:firstLine="643" w:firstLineChars="200"/>
        <w:jc w:val="left"/>
        <w:rPr>
          <w:rFonts w:hint="eastAsia" w:ascii="仿宋_GB2312" w:hAnsi="仿宋_GB2312" w:eastAsia="仿宋_GB2312" w:cs="仿宋_GB2312"/>
          <w:color w:val="000000"/>
          <w:kern w:val="0"/>
          <w:sz w:val="32"/>
          <w:szCs w:val="32"/>
          <w:highlight w:val="none"/>
          <w:lang w:val="zh-CN" w:eastAsia="zh-CN" w:bidi="ar"/>
        </w:rPr>
      </w:pPr>
      <w:r>
        <w:rPr>
          <w:rFonts w:hint="eastAsia" w:ascii="仿宋_GB2312" w:hAnsi="仿宋_GB2312" w:eastAsia="仿宋_GB2312" w:cs="仿宋_GB2312"/>
          <w:b/>
          <w:bCs/>
          <w:color w:val="auto"/>
          <w:sz w:val="32"/>
          <w:szCs w:val="32"/>
          <w:lang w:val="zh-CN" w:eastAsia="zh-CN"/>
        </w:rPr>
        <w:t>二、绩效自评结果</w:t>
      </w:r>
    </w:p>
    <w:p w14:paraId="09EF55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645"/>
        <w:jc w:val="left"/>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我部门在2023年度部门决算中反映整体支出绩效自评结果。我单位在2023年度部门决算中反映整体支出绩效自评结果。整体支出绩效自评情况：根据年初设定的绩效目标,项目绩效自评得分为98分。项目全年预算数为174.61万元,执行数为174.61万元,完成预算的100%。项目绩效目标完成情况：一是合理安排支出；二是保障单位工作正常运转。发现的主要问题及原因：一是服务对象满意度较低；二是管理制度健全性较低。下一步改进措施：一是提高群众满意度；二是完善并健全管理制度。</w:t>
      </w:r>
    </w:p>
    <w:p w14:paraId="0FAE7578">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14:paraId="12A0BEB2">
      <w:pPr>
        <w:spacing w:before="100" w:beforeLines="0" w:after="100" w:afterLines="0"/>
        <w:ind w:firstLine="640" w:firstLineChars="200"/>
        <w:jc w:val="left"/>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无</w:t>
      </w:r>
    </w:p>
    <w:p w14:paraId="20BCE226">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14:paraId="6F1155C5">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：指本年度从本级财政部门取得的财政拨款,包括一般公共预算财政拨款和政府性基金预算财政拨款。</w:t>
      </w:r>
    </w:p>
    <w:p w14:paraId="2C4AD67D">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：指事业单位开展专业业务活动及其辅助活动取得的现金流入；事业单位收到的财政</w:t>
      </w:r>
      <w:r>
        <w:rPr>
          <w:rFonts w:hint="eastAsia" w:ascii="仿宋_GB2312" w:hAnsi="仿宋_GB2312" w:eastAsia="仿宋_GB2312" w:cs="仿宋_GB2312"/>
          <w:color w:val="auto"/>
          <w:kern w:val="0"/>
          <w:sz w:val="32"/>
          <w:szCs w:val="32"/>
          <w:lang w:val="zh-CN" w:eastAsia="zh-CN" w:bidi="ar"/>
        </w:rPr>
        <w:t>专户</w:t>
      </w:r>
      <w:r>
        <w:rPr>
          <w:rFonts w:hint="eastAsia" w:ascii="仿宋_GB2312" w:hAnsi="仿宋_GB2312" w:eastAsia="仿宋_GB2312" w:cs="仿宋_GB2312"/>
          <w:color w:val="auto"/>
          <w:sz w:val="32"/>
          <w:szCs w:val="32"/>
          <w:lang w:val="zh-CN"/>
        </w:rPr>
        <w:t>实际核拨的教育收费等资金在此反映。</w:t>
      </w:r>
    </w:p>
    <w:p w14:paraId="1EB9AB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kern w:val="0"/>
          <w:sz w:val="32"/>
          <w:szCs w:val="32"/>
          <w:lang w:val="zh-CN" w:eastAsia="zh-CN" w:bidi="ar"/>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kern w:val="0"/>
          <w:sz w:val="32"/>
          <w:szCs w:val="32"/>
          <w:lang w:val="zh-CN" w:eastAsia="zh-CN" w:bidi="ar"/>
        </w:rPr>
        <w:t>指事业单位在专业业务活动及其辅助活动之外开展非独立核算经营活动取得的现金流入。</w:t>
      </w:r>
    </w:p>
    <w:p w14:paraId="4CD93F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452DD1C9">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sz w:val="32"/>
          <w:szCs w:val="32"/>
          <w:lang w:val="zh-CN" w:eastAsia="zh-CN" w:bidi="ar-SA"/>
        </w:rPr>
        <w:t>五、使用非财政拨款结余（含专用结余）：</w:t>
      </w:r>
      <w:r>
        <w:rPr>
          <w:rFonts w:hint="eastAsia" w:ascii="仿宋_GB2312" w:hAnsi="仿宋_GB2312" w:eastAsia="仿宋_GB2312" w:cs="仿宋_GB2312"/>
          <w:color w:val="000000"/>
          <w:kern w:val="0"/>
          <w:sz w:val="32"/>
          <w:szCs w:val="32"/>
          <w:lang w:val="zh-CN" w:eastAsia="zh-CN" w:bidi="ar-SA"/>
        </w:rPr>
        <w:t>指事业单位按照预算管理要求使用非财政拨款结余弥补收支差额的金额，以及使用专用结余安排支出的金额。</w:t>
      </w:r>
    </w:p>
    <w:p w14:paraId="6BA046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en-US" w:eastAsia="zh-CN"/>
        </w:rPr>
        <w:t>六</w:t>
      </w:r>
      <w:r>
        <w:rPr>
          <w:rFonts w:hint="eastAsia" w:ascii="仿宋_GB2312" w:hAnsi="仿宋_GB2312" w:eastAsia="仿宋_GB2312" w:cs="仿宋_GB2312"/>
          <w:b/>
          <w:bCs/>
          <w:color w:val="auto"/>
          <w:sz w:val="32"/>
          <w:szCs w:val="32"/>
          <w:lang w:val="zh-CN"/>
        </w:rPr>
        <w:t>、</w:t>
      </w:r>
      <w:r>
        <w:rPr>
          <w:rFonts w:hint="eastAsia" w:ascii="仿宋_GB2312" w:hAnsi="仿宋_GB2312" w:eastAsia="仿宋_GB2312" w:cs="仿宋_GB2312"/>
          <w:b/>
          <w:color w:val="auto"/>
          <w:sz w:val="32"/>
          <w:szCs w:val="32"/>
          <w:lang w:val="zh-CN"/>
        </w:rPr>
        <w:t>年初结转和结余</w:t>
      </w:r>
      <w:r>
        <w:rPr>
          <w:rFonts w:hint="eastAsia" w:ascii="仿宋_GB2312" w:hAnsi="仿宋_GB2312" w:eastAsia="仿宋_GB2312" w:cs="仿宋_GB2312"/>
          <w:color w:val="auto"/>
          <w:sz w:val="32"/>
          <w:szCs w:val="32"/>
          <w:lang w:val="zh-CN"/>
        </w:rPr>
        <w:t>：指单位上年结转本年使用的基本支出结转、项目支出结转和结余、经营结余。</w:t>
      </w:r>
    </w:p>
    <w:p w14:paraId="73644B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七</w:t>
      </w:r>
      <w:r>
        <w:rPr>
          <w:rFonts w:hint="eastAsia" w:ascii="仿宋_GB2312" w:hAnsi="仿宋_GB2312" w:eastAsia="仿宋_GB2312" w:cs="仿宋_GB2312"/>
          <w:b/>
          <w:color w:val="auto"/>
          <w:sz w:val="32"/>
          <w:szCs w:val="32"/>
          <w:lang w:val="zh-CN"/>
        </w:rPr>
        <w:t>、结余分配</w:t>
      </w:r>
      <w:r>
        <w:rPr>
          <w:rFonts w:hint="eastAsia" w:ascii="仿宋_GB2312" w:hAnsi="仿宋_GB2312" w:eastAsia="仿宋_GB2312" w:cs="仿宋_GB2312"/>
          <w:color w:val="auto"/>
          <w:sz w:val="32"/>
          <w:szCs w:val="32"/>
          <w:lang w:val="zh-CN"/>
        </w:rPr>
        <w:t>：指单位按照国家有关规定,缴纳所得税、提取专用基金、转入事业基金等当年结余的分配情况。</w:t>
      </w:r>
    </w:p>
    <w:p w14:paraId="5A9FED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八</w:t>
      </w:r>
      <w:r>
        <w:rPr>
          <w:rFonts w:hint="eastAsia" w:ascii="仿宋_GB2312" w:hAnsi="仿宋_GB2312" w:eastAsia="仿宋_GB2312" w:cs="仿宋_GB2312"/>
          <w:b/>
          <w:color w:val="auto"/>
          <w:sz w:val="32"/>
          <w:szCs w:val="32"/>
          <w:lang w:val="zh-CN"/>
        </w:rPr>
        <w:t>、年末结转和结余</w:t>
      </w:r>
      <w:r>
        <w:rPr>
          <w:rFonts w:hint="eastAsia" w:ascii="仿宋_GB2312" w:hAnsi="仿宋_GB2312" w:eastAsia="仿宋_GB2312" w:cs="仿宋_GB2312"/>
          <w:color w:val="auto"/>
          <w:sz w:val="32"/>
          <w:szCs w:val="32"/>
          <w:lang w:val="zh-CN"/>
        </w:rPr>
        <w:t>：指单位结转下年的基本支出结转、项目支出结转和结余、经营结余。</w:t>
      </w:r>
    </w:p>
    <w:p w14:paraId="02AE4B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九</w:t>
      </w:r>
      <w:r>
        <w:rPr>
          <w:rFonts w:hint="eastAsia" w:ascii="仿宋_GB2312" w:hAnsi="仿宋_GB2312" w:eastAsia="仿宋_GB2312" w:cs="仿宋_GB2312"/>
          <w:b/>
          <w:color w:val="auto"/>
          <w:sz w:val="32"/>
          <w:szCs w:val="32"/>
          <w:lang w:val="zh-CN"/>
        </w:rPr>
        <w:t>、基本支出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01F8B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十</w:t>
      </w:r>
      <w:r>
        <w:rPr>
          <w:rFonts w:hint="eastAsia" w:ascii="仿宋_GB2312" w:hAnsi="仿宋_GB2312" w:eastAsia="仿宋_GB2312" w:cs="仿宋_GB2312"/>
          <w:b/>
          <w:color w:val="auto"/>
          <w:sz w:val="32"/>
          <w:szCs w:val="32"/>
          <w:lang w:val="zh-CN"/>
        </w:rPr>
        <w:t>、项目支出</w:t>
      </w:r>
      <w:r>
        <w:rPr>
          <w:rFonts w:hint="eastAsia" w:ascii="仿宋_GB2312" w:hAnsi="仿宋_GB2312" w:eastAsia="仿宋_GB2312" w:cs="仿宋_GB2312"/>
          <w:color w:val="auto"/>
          <w:sz w:val="32"/>
          <w:szCs w:val="32"/>
          <w:lang w:val="zh-CN"/>
        </w:rPr>
        <w:t>：指在基本支出之外为完成特定行政任务和事业发展目标所发生的支出。</w:t>
      </w:r>
    </w:p>
    <w:p w14:paraId="73C8C586">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w:t>
      </w:r>
      <w:r>
        <w:rPr>
          <w:rFonts w:hint="eastAsia" w:ascii="仿宋_GB2312" w:hAnsi="仿宋_GB2312" w:eastAsia="仿宋_GB2312" w:cs="仿宋_GB2312"/>
          <w:b/>
          <w:color w:val="auto"/>
          <w:sz w:val="32"/>
          <w:szCs w:val="32"/>
          <w:lang w:val="en-US" w:eastAsia="zh-CN"/>
        </w:rPr>
        <w:t>一</w:t>
      </w:r>
      <w:r>
        <w:rPr>
          <w:rFonts w:hint="eastAsia" w:ascii="仿宋_GB2312" w:hAnsi="仿宋_GB2312" w:eastAsia="仿宋_GB2312" w:cs="仿宋_GB2312"/>
          <w:b/>
          <w:color w:val="auto"/>
          <w:sz w:val="32"/>
          <w:szCs w:val="32"/>
          <w:lang w:val="zh-CN"/>
        </w:rPr>
        <w:t>、经营支出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793E48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w:t>
      </w:r>
      <w:r>
        <w:rPr>
          <w:rFonts w:hint="eastAsia" w:ascii="仿宋_GB2312" w:hAnsi="仿宋_GB2312" w:eastAsia="仿宋_GB2312" w:cs="仿宋_GB2312"/>
          <w:b/>
          <w:color w:val="auto"/>
          <w:sz w:val="32"/>
          <w:szCs w:val="32"/>
          <w:lang w:val="en-US" w:eastAsia="zh-CN"/>
        </w:rPr>
        <w:t>二</w:t>
      </w:r>
      <w:r>
        <w:rPr>
          <w:rFonts w:hint="eastAsia" w:ascii="仿宋_GB2312" w:hAnsi="仿宋_GB2312" w:eastAsia="仿宋_GB2312" w:cs="仿宋_GB2312"/>
          <w:b/>
          <w:color w:val="auto"/>
          <w:sz w:val="32"/>
          <w:szCs w:val="32"/>
          <w:lang w:val="zh-CN"/>
        </w:rPr>
        <w:t>、“三公”经费</w:t>
      </w:r>
      <w:r>
        <w:rPr>
          <w:rFonts w:hint="eastAsia" w:ascii="仿宋_GB2312" w:hAnsi="仿宋_GB2312" w:eastAsia="仿宋_GB2312" w:cs="仿宋_GB2312"/>
          <w:color w:val="auto"/>
          <w:sz w:val="32"/>
          <w:szCs w:val="32"/>
          <w:lang w:val="zh-CN"/>
        </w:rPr>
        <w:t>：指</w:t>
      </w:r>
      <w:r>
        <w:rPr>
          <w:rFonts w:hint="eastAsia" w:ascii="仿宋_GB2312" w:hAnsi="仿宋_GB2312" w:eastAsia="仿宋_GB2312" w:cs="仿宋_GB2312"/>
          <w:color w:val="auto"/>
          <w:kern w:val="2"/>
          <w:sz w:val="32"/>
          <w:szCs w:val="32"/>
          <w:lang w:val="zh-CN"/>
        </w:rPr>
        <w:t>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C32687E">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643" w:firstLineChars="200"/>
        <w:jc w:val="left"/>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color w:val="auto"/>
          <w:sz w:val="32"/>
          <w:szCs w:val="32"/>
          <w:lang w:val="zh-CN"/>
        </w:rPr>
        <w:t>十</w:t>
      </w: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lang w:val="zh-CN"/>
        </w:rPr>
        <w:t>、机关运行经费</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000000"/>
          <w:kern w:val="0"/>
          <w:sz w:val="32"/>
          <w:szCs w:val="32"/>
          <w:lang w:val="zh-CN" w:eastAsia="zh-CN" w:bidi="ar-SA"/>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D5C3C32">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643" w:firstLineChars="200"/>
        <w:jc w:val="left"/>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十四、社会保障和就业支出（类）行政事业单位养老支出（款）机关事业单位基本养老保险缴费支出（项）：</w:t>
      </w:r>
      <w:r>
        <w:rPr>
          <w:rFonts w:hint="eastAsia" w:ascii="仿宋_GB2312" w:hAnsi="仿宋_GB2312" w:eastAsia="仿宋_GB2312" w:cs="仿宋_GB2312"/>
          <w:color w:val="000000"/>
          <w:kern w:val="0"/>
          <w:sz w:val="32"/>
          <w:szCs w:val="32"/>
          <w:lang w:val="zh-CN" w:eastAsia="zh-CN" w:bidi="ar-SA"/>
        </w:rPr>
        <w:t>反映机关事业单位实施养老保险制度由单位缴纳的基本养老保险支出。</w:t>
      </w:r>
    </w:p>
    <w:p w14:paraId="46D76717">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p>
    <w:p w14:paraId="6FDEF4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34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p>
    <w:p w14:paraId="197D4F1D">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NGZiMTVlN2JiMWY3ZDZiZjlmNzRmNjY3MjFmODkifQ=="/>
  </w:docVars>
  <w:rsids>
    <w:rsidRoot w:val="00000000"/>
    <w:rsid w:val="003B4C8B"/>
    <w:rsid w:val="00453D81"/>
    <w:rsid w:val="0094108D"/>
    <w:rsid w:val="00ED3BD8"/>
    <w:rsid w:val="03876B9A"/>
    <w:rsid w:val="05B222AB"/>
    <w:rsid w:val="0CC0609B"/>
    <w:rsid w:val="0F5131EF"/>
    <w:rsid w:val="14FB51D2"/>
    <w:rsid w:val="15656E31"/>
    <w:rsid w:val="15671D54"/>
    <w:rsid w:val="17680005"/>
    <w:rsid w:val="1798732B"/>
    <w:rsid w:val="186410E9"/>
    <w:rsid w:val="18977470"/>
    <w:rsid w:val="1B6F3710"/>
    <w:rsid w:val="1F711BB5"/>
    <w:rsid w:val="270B368D"/>
    <w:rsid w:val="340071A3"/>
    <w:rsid w:val="34E008DF"/>
    <w:rsid w:val="376B0DD8"/>
    <w:rsid w:val="40BF2194"/>
    <w:rsid w:val="443F1622"/>
    <w:rsid w:val="46956C03"/>
    <w:rsid w:val="4BE27F6A"/>
    <w:rsid w:val="4E1872D6"/>
    <w:rsid w:val="4EA664A4"/>
    <w:rsid w:val="4EC372F3"/>
    <w:rsid w:val="56B61C99"/>
    <w:rsid w:val="5A2064D2"/>
    <w:rsid w:val="62253D93"/>
    <w:rsid w:val="6BB0400B"/>
    <w:rsid w:val="7014330B"/>
    <w:rsid w:val="73A22565"/>
    <w:rsid w:val="7402014D"/>
    <w:rsid w:val="757C4095"/>
    <w:rsid w:val="79B15A87"/>
    <w:rsid w:val="79C130F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54d5f44b-c298-4532-b503-82b0e063a1a0}">
  <ds:schemaRefs/>
</ds:datastoreItem>
</file>

<file path=customXml/itemProps2.xml><?xml version="1.0" encoding="utf-8"?>
<ds:datastoreItem xmlns:ds="http://schemas.openxmlformats.org/officeDocument/2006/customXml" ds:itemID="{46ea2f18-004e-4eb9-bb48-795ede0f9c59}">
  <ds:schemaRefs/>
</ds:datastoreItem>
</file>

<file path=customXml/itemProps3.xml><?xml version="1.0" encoding="utf-8"?>
<ds:datastoreItem xmlns:ds="http://schemas.openxmlformats.org/officeDocument/2006/customXml" ds:itemID="{c2e8d3cd-fbf5-492b-a073-93e7766c857d}">
  <ds:schemaRefs/>
</ds:datastoreItem>
</file>

<file path=customXml/itemProps4.xml><?xml version="1.0" encoding="utf-8"?>
<ds:datastoreItem xmlns:ds="http://schemas.openxmlformats.org/officeDocument/2006/customXml" ds:itemID="{fc05803e-fc58-410a-b348-c91cf53a51d2}">
  <ds:schemaRefs/>
</ds:datastoreItem>
</file>

<file path=customXml/itemProps5.xml><?xml version="1.0" encoding="utf-8"?>
<ds:datastoreItem xmlns:ds="http://schemas.openxmlformats.org/officeDocument/2006/customXml" ds:itemID="{e6c5a433-0587-4434-9653-1da08c16622b}">
  <ds:schemaRefs/>
</ds:datastoreItem>
</file>

<file path=customXml/itemProps6.xml><?xml version="1.0" encoding="utf-8"?>
<ds:datastoreItem xmlns:ds="http://schemas.openxmlformats.org/officeDocument/2006/customXml" ds:itemID="{c41d2de2-90f2-401c-9419-1f453f0374c3}">
  <ds:schemaRefs/>
</ds:datastoreItem>
</file>

<file path=customXml/itemProps7.xml><?xml version="1.0" encoding="utf-8"?>
<ds:datastoreItem xmlns:ds="http://schemas.openxmlformats.org/officeDocument/2006/customXml" ds:itemID="{3e486444-bf49-4a14-9881-def05a1feb94}">
  <ds:schemaRefs/>
</ds:datastoreItem>
</file>

<file path=customXml/itemProps8.xml><?xml version="1.0" encoding="utf-8"?>
<ds:datastoreItem xmlns:ds="http://schemas.openxmlformats.org/officeDocument/2006/customXml" ds:itemID="{b05024c1-e1c9-4551-b121-5b42f994ae92}">
  <ds:schemaRefs/>
</ds:datastoreItem>
</file>

<file path=customXml/itemProps9.xml><?xml version="1.0" encoding="utf-8"?>
<ds:datastoreItem xmlns:ds="http://schemas.openxmlformats.org/officeDocument/2006/customXml" ds:itemID="{07d3b4d1-b30c-4fce-b303-a97907371bf2}">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4098</Words>
  <Characters>4401</Characters>
  <Lines>0</Lines>
  <Paragraphs>0</Paragraphs>
  <TotalTime>8</TotalTime>
  <ScaleCrop>false</ScaleCrop>
  <LinksUpToDate>false</LinksUpToDate>
  <CharactersWithSpaces>4405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爱卫办  王德军</cp:lastModifiedBy>
  <dcterms:modified xsi:type="dcterms:W3CDTF">2024-09-18T03:48:41Z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E06D266F13EA4024808CEEADBAD91186_11</vt:lpwstr>
  </property>
</Properties>
</file>