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甘肃振华律师事务所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202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44"/>
          <w:szCs w:val="44"/>
        </w:rPr>
        <w:t>年整体支出绩效自评报告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为进一步规范财政支出管理，牢固树立预算绩效理念，强化支出责任，提高财政资金使用效益，根据《华池县财政局关于开展202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年度财政资金部门整体支出和项目支出绩效评价工作的通知》精神，遵循“科学性、规范性、客观性和公正性”的原则,我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所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</w:t>
      </w:r>
      <w:r>
        <w:rPr>
          <w:rFonts w:hint="eastAsia" w:ascii="仿宋" w:hAnsi="仿宋" w:eastAsia="仿宋" w:cs="仿宋"/>
          <w:sz w:val="32"/>
          <w:szCs w:val="32"/>
        </w:rPr>
        <w:t>整体支出进行了绩效评价，现自评情况如下：</w:t>
      </w:r>
      <w:bookmarkStart w:id="0" w:name="_GoBack"/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一、部门概况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（一）部门基本情况。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甘肃振华律师事务所</w:t>
      </w:r>
      <w:r>
        <w:rPr>
          <w:rFonts w:hint="eastAsia" w:ascii="仿宋" w:hAnsi="仿宋" w:eastAsia="仿宋" w:cs="仿宋"/>
          <w:sz w:val="32"/>
          <w:szCs w:val="32"/>
        </w:rPr>
        <w:t>系全额预算拨款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事业</w:t>
      </w:r>
      <w:r>
        <w:rPr>
          <w:rFonts w:hint="eastAsia" w:ascii="仿宋" w:hAnsi="仿宋" w:eastAsia="仿宋" w:cs="仿宋"/>
          <w:sz w:val="32"/>
          <w:szCs w:val="32"/>
        </w:rPr>
        <w:t>单位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after="100" w:afterLines="0" w:line="560" w:lineRule="exact"/>
        <w:ind w:firstLine="640" w:firstLineChars="200"/>
        <w:jc w:val="left"/>
        <w:textAlignment w:val="auto"/>
        <w:rPr>
          <w:rStyle w:val="8"/>
          <w:rFonts w:hint="eastAsia" w:ascii="楷体_GB2312" w:hAnsi="Times New Roman" w:eastAsia="楷体_GB2312" w:cs="楷体_GB2312"/>
          <w:sz w:val="32"/>
          <w:szCs w:val="32"/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1、主要职责：</w:t>
      </w:r>
      <w:r>
        <w:rPr>
          <w:rStyle w:val="8"/>
          <w:rFonts w:hint="eastAsia" w:ascii="仿宋_GB2312" w:hAnsi="仿宋_GB2312" w:eastAsia="仿宋_GB2312" w:cs="仿宋_GB2312"/>
          <w:sz w:val="32"/>
          <w:szCs w:val="32"/>
          <w:lang w:val="zh-CN"/>
        </w:rPr>
        <w:t>华池县律师事务所的职责是办理各类诉讼事务和相关的法律事务，为社会提供法律服务和法律保障，引导公民、法人正确确设立、变更或终止法律行为，维护经济秩序和社会主义法制，预防纠纷，减少诉讼，制止不法行为，保护国家利益和公民、法人的合法权益，促进社会安定团结和现代化建设事业顺利进行</w:t>
      </w:r>
      <w:r>
        <w:rPr>
          <w:rStyle w:val="8"/>
          <w:rFonts w:hint="eastAsia" w:ascii="楷体_GB2312" w:hAnsi="Times New Roman" w:eastAsia="楷体_GB2312" w:cs="楷体_GB2312"/>
          <w:sz w:val="32"/>
          <w:szCs w:val="32"/>
          <w:lang w:val="zh-CN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2、内设机构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2023年，独立核算机构共</w:t>
      </w:r>
      <w:r>
        <w:rPr>
          <w:rFonts w:hint="eastAsia" w:ascii="仿宋_GB2312" w:eastAsia="仿宋_GB2312"/>
          <w:sz w:val="32"/>
          <w:szCs w:val="32"/>
          <w:highlight w:val="none"/>
          <w:u w:val="single"/>
        </w:rPr>
        <w:t>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个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3、人员情况。2023年年末实有人数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人，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eastAsia="zh-CN"/>
        </w:rPr>
        <w:t>非参公管理事业人员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1人。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（二）年初财政批复的部门预算整体支出情况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我单位</w:t>
      </w:r>
      <w:r>
        <w:rPr>
          <w:rFonts w:hint="eastAsia" w:ascii="仿宋" w:hAnsi="仿宋" w:eastAsia="仿宋" w:cs="仿宋"/>
          <w:sz w:val="32"/>
          <w:szCs w:val="32"/>
        </w:rPr>
        <w:t>年初财政批复的整体支出合计：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17.96</w:t>
      </w:r>
      <w:r>
        <w:rPr>
          <w:rFonts w:hint="eastAsia" w:ascii="仿宋" w:hAnsi="仿宋" w:eastAsia="仿宋" w:cs="仿宋"/>
          <w:sz w:val="32"/>
          <w:szCs w:val="32"/>
        </w:rPr>
        <w:t>万元。部门预算基本支出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17.96</w:t>
      </w:r>
      <w:r>
        <w:rPr>
          <w:rFonts w:hint="eastAsia" w:ascii="仿宋" w:hAnsi="仿宋" w:eastAsia="仿宋" w:cs="仿宋"/>
          <w:sz w:val="32"/>
          <w:szCs w:val="32"/>
        </w:rPr>
        <w:t>万元，其中：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工资福利</w:t>
      </w:r>
      <w:r>
        <w:rPr>
          <w:rFonts w:hint="eastAsia" w:ascii="仿宋" w:hAnsi="仿宋" w:eastAsia="仿宋" w:cs="仿宋"/>
          <w:sz w:val="32"/>
          <w:szCs w:val="32"/>
        </w:rPr>
        <w:t>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17.95</w:t>
      </w:r>
      <w:r>
        <w:rPr>
          <w:rFonts w:hint="eastAsia" w:ascii="仿宋" w:hAnsi="仿宋" w:eastAsia="仿宋" w:cs="仿宋"/>
          <w:sz w:val="32"/>
          <w:szCs w:val="32"/>
        </w:rPr>
        <w:t>万元；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商品和服务支出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0.01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无项目支出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二、决算整体支出管理及使用情况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（一）决算基本支出情况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主要用于在职人员工资福利，保障正常运转的公用支出和业务支出。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本单位202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年度收入预算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17.96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决算整体</w:t>
      </w:r>
      <w:r>
        <w:rPr>
          <w:rFonts w:hint="eastAsia" w:ascii="仿宋" w:hAnsi="仿宋" w:eastAsia="仿宋" w:cs="仿宋"/>
          <w:sz w:val="32"/>
          <w:szCs w:val="32"/>
        </w:rPr>
        <w:t>支出总计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17.96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2、“三公经费“执行情况：202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年度“三公”经费财政拨款支出决算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1.1</w:t>
      </w:r>
      <w:r>
        <w:rPr>
          <w:rFonts w:hint="eastAsia" w:ascii="仿宋" w:hAnsi="仿宋" w:eastAsia="仿宋" w:cs="仿宋"/>
          <w:sz w:val="32"/>
          <w:szCs w:val="32"/>
        </w:rPr>
        <w:t>万元，其中因公出国（境）费支出决算0万元；公务用车购置及运行维护费支出决算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万元；公务接待费支出决算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（二）项目支出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"/>
        </w:rPr>
        <w:t>202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"/>
        </w:rPr>
        <w:t>年，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县财政预算未安排律师事务所项目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"/>
        </w:rPr>
      </w:pPr>
      <w:r>
        <w:rPr>
          <w:rFonts w:hint="eastAsia" w:ascii="仿宋" w:hAnsi="仿宋" w:eastAsia="仿宋" w:cs="仿宋"/>
          <w:sz w:val="32"/>
          <w:szCs w:val="32"/>
          <w:lang w:val="en"/>
        </w:rPr>
        <w:t>2.总体绩效目标完成情况分析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年初目标：确保机构正常运转，工资福利、对个人和家庭补助支出；及时下发商品和服务支出。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实际完成情况：机构正常运转，保障工资福利、对个人和家庭补助支出；能够保障商品和服务支出。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"/>
        </w:rPr>
        <w:t>3.各项指标完成情况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"/>
        </w:rPr>
        <w:t>服务对象满意度指标</w:t>
      </w:r>
      <w:r>
        <w:rPr>
          <w:rFonts w:hint="eastAsia" w:ascii="仿宋" w:hAnsi="仿宋" w:eastAsia="仿宋" w:cs="仿宋"/>
          <w:sz w:val="32"/>
          <w:szCs w:val="32"/>
          <w:lang w:val="en"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法律服务对象</w:t>
      </w:r>
      <w:r>
        <w:rPr>
          <w:rFonts w:hint="eastAsia" w:ascii="仿宋" w:hAnsi="仿宋" w:eastAsia="仿宋" w:cs="仿宋"/>
          <w:sz w:val="32"/>
          <w:szCs w:val="32"/>
          <w:lang w:val="en" w:eastAsia="zh-CN"/>
        </w:rPr>
        <w:t>满意度、工作人员满意度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32"/>
          <w:szCs w:val="32"/>
          <w:lang w:val="en"/>
        </w:rPr>
        <w:t>偏离绩效目标的原因及下一步改进措施</w:t>
      </w:r>
      <w:r>
        <w:rPr>
          <w:rFonts w:hint="eastAsia" w:ascii="仿宋" w:hAnsi="仿宋" w:eastAsia="仿宋" w:cs="仿宋"/>
          <w:sz w:val="32"/>
          <w:szCs w:val="32"/>
          <w:lang w:val="en"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进一步推进开展一村一法律顾问以及法治体检活动。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三、绩效评价工作情况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为进一步加强部门责任意识，强化财政支出绩效理念，规范财政资金管理，提高资金使用绩效，根据绩效评价的相关要求，我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所</w:t>
      </w:r>
      <w:r>
        <w:rPr>
          <w:rFonts w:hint="eastAsia" w:ascii="仿宋" w:hAnsi="仿宋" w:eastAsia="仿宋" w:cs="仿宋"/>
          <w:sz w:val="32"/>
          <w:szCs w:val="32"/>
        </w:rPr>
        <w:t>成立了主要负责人为组长，分管领导为副组长的财政资金绩效评价工作小组，并安排专人做好项目绩效评价工作。通过查阅项目、财务资料，采取自评方式开展绩效评价。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四、综合评价结果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根据《部门整体支出绩效评价指标》评分，得分9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分，绩效评价等级为“优”。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五、存在的主要问题及原因分析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是预算编制不够细化。致使预算编制不完整，预算执行困难；二是财政预算支出结构严重不合理。应由政府承担的一些社会公共需要却无力保障；三是上级专项补助下达滞后，导致项目预算编制不全面，年初预算与决算数差异较大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产生上述问题的原因：一是县级财力有限，财政预算安排吃紧，部分刚性支出得不到应有保障，预算调整较频繁；二是上级专项补助下达滞后，财政预算安排迟缓，受财力影响，资金调度不及时，预算执行困难加大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1C446F"/>
    <w:multiLevelType w:val="singleLevel"/>
    <w:tmpl w:val="1F1C446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xNzk5NDUxZmYzY2U0Mzk1YjQzM2Y5YWQyMjI1NTUifQ=="/>
  </w:docVars>
  <w:rsids>
    <w:rsidRoot w:val="23871E8A"/>
    <w:rsid w:val="0CD0767C"/>
    <w:rsid w:val="0D6F1519"/>
    <w:rsid w:val="20B0178B"/>
    <w:rsid w:val="23871E8A"/>
    <w:rsid w:val="2886510F"/>
    <w:rsid w:val="370437D8"/>
    <w:rsid w:val="3C893634"/>
    <w:rsid w:val="3E5607C4"/>
    <w:rsid w:val="561B6BA6"/>
    <w:rsid w:val="56E76D2E"/>
    <w:rsid w:val="5C522A96"/>
    <w:rsid w:val="5D8F7175"/>
    <w:rsid w:val="67DA7D95"/>
    <w:rsid w:val="69F43DE7"/>
    <w:rsid w:val="78D9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qFormat/>
    <w:uiPriority w:val="0"/>
    <w:pPr>
      <w:spacing w:after="120" w:afterLines="0" w:afterAutospacing="0" w:line="480" w:lineRule="auto"/>
      <w:ind w:left="420" w:leftChars="200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15"/>
    <w:basedOn w:val="7"/>
    <w:autoRedefine/>
    <w:qFormat/>
    <w:uiPriority w:val="0"/>
    <w:rPr>
      <w:rFonts w:hint="default" w:ascii="Times New Roman" w:hAnsi="Times New Roman" w:eastAsia="楷体_GB2312" w:cs="楷体_GB231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1171</Words>
  <Characters>1257</Characters>
  <Lines>0</Lines>
  <Paragraphs>0</Paragraphs>
  <TotalTime>11</TotalTime>
  <ScaleCrop>false</ScaleCrop>
  <LinksUpToDate>false</LinksUpToDate>
  <CharactersWithSpaces>1257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2023-06-29T09:35:00Z</dcterms:created>
  <dc:creator>石化办-1</dc:creator>
  <cp:lastModifiedBy>* ~*</cp:lastModifiedBy>
  <cp:lastPrinted>2024-05-22T08:45:17Z</cp:lastPrinted>
  <dcterms:modified xsi:type="dcterms:W3CDTF">2024-05-22T08:48:25Z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ACD6E84DA9FA4B74915819F31D055F59_13</vt:lpwstr>
  </property>
</Properties>
</file>