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97811">
      <w:pPr>
        <w:spacing w:before="100" w:beforeLines="0" w:after="100" w:afterLines="0"/>
        <w:jc w:val="center"/>
        <w:rPr>
          <w:rFonts w:hint="eastAsia" w:ascii="宋体" w:hAnsi="宋体"/>
          <w:sz w:val="24"/>
          <w:szCs w:val="24"/>
          <w:lang w:val="zh-CN"/>
        </w:rPr>
      </w:pPr>
    </w:p>
    <w:p w14:paraId="2CDC1294">
      <w:pPr>
        <w:spacing w:before="100" w:beforeLines="0" w:after="100" w:afterLines="0"/>
        <w:jc w:val="center"/>
        <w:rPr>
          <w:rFonts w:hint="eastAsia" w:ascii="宋体" w:hAnsi="宋体"/>
          <w:sz w:val="24"/>
          <w:szCs w:val="24"/>
          <w:lang w:val="zh-CN"/>
        </w:rPr>
      </w:pPr>
    </w:p>
    <w:p w14:paraId="035EC658">
      <w:pPr>
        <w:spacing w:before="100" w:beforeLines="0" w:after="100" w:afterLines="0"/>
        <w:jc w:val="center"/>
        <w:rPr>
          <w:rFonts w:hint="eastAsia" w:ascii="宋体" w:hAnsi="宋体"/>
          <w:sz w:val="24"/>
          <w:szCs w:val="24"/>
          <w:lang w:val="zh-CN"/>
        </w:rPr>
      </w:pPr>
    </w:p>
    <w:p w14:paraId="3873209C">
      <w:pPr>
        <w:spacing w:before="100" w:beforeLines="0" w:after="100" w:afterLines="0"/>
        <w:jc w:val="center"/>
        <w:rPr>
          <w:rFonts w:hint="eastAsia" w:ascii="宋体" w:hAnsi="宋体"/>
          <w:sz w:val="24"/>
          <w:szCs w:val="24"/>
          <w:lang w:val="zh-CN"/>
        </w:rPr>
      </w:pPr>
    </w:p>
    <w:p w14:paraId="61048B57">
      <w:pPr>
        <w:spacing w:before="100" w:beforeLines="0" w:after="100" w:afterLines="0"/>
        <w:jc w:val="center"/>
        <w:rPr>
          <w:rFonts w:hint="eastAsia" w:ascii="宋体" w:hAnsi="宋体"/>
          <w:sz w:val="24"/>
          <w:szCs w:val="24"/>
          <w:lang w:val="zh-CN"/>
        </w:rPr>
      </w:pPr>
    </w:p>
    <w:p w14:paraId="0C1CB893">
      <w:pPr>
        <w:spacing w:before="100" w:beforeLines="0" w:after="100" w:afterLines="0"/>
        <w:jc w:val="center"/>
        <w:rPr>
          <w:rFonts w:hint="eastAsia" w:ascii="宋体" w:hAnsi="宋体"/>
          <w:sz w:val="24"/>
          <w:szCs w:val="24"/>
          <w:lang w:val="zh-CN"/>
        </w:rPr>
      </w:pPr>
    </w:p>
    <w:p w14:paraId="203B1806">
      <w:pPr>
        <w:spacing w:before="100" w:beforeLines="0" w:after="100" w:afterLines="0"/>
        <w:jc w:val="center"/>
        <w:rPr>
          <w:rFonts w:hint="eastAsia" w:ascii="宋体" w:hAnsi="宋体"/>
          <w:sz w:val="24"/>
          <w:szCs w:val="24"/>
          <w:lang w:val="zh-CN"/>
        </w:rPr>
      </w:pPr>
    </w:p>
    <w:p w14:paraId="74F7F4BD">
      <w:pPr>
        <w:spacing w:before="100" w:beforeLines="0" w:after="100" w:afterLines="0"/>
        <w:jc w:val="center"/>
        <w:rPr>
          <w:rFonts w:hint="eastAsia" w:ascii="宋体" w:hAnsi="宋体"/>
          <w:sz w:val="24"/>
          <w:szCs w:val="24"/>
          <w:lang w:val="zh-CN"/>
        </w:rPr>
      </w:pPr>
    </w:p>
    <w:p w14:paraId="11B54F46">
      <w:pPr>
        <w:spacing w:before="100" w:beforeLines="0" w:after="100" w:afterLines="0"/>
        <w:jc w:val="center"/>
        <w:rPr>
          <w:rFonts w:hint="eastAsia" w:ascii="宋体" w:hAnsi="宋体"/>
          <w:sz w:val="24"/>
          <w:szCs w:val="24"/>
          <w:lang w:val="zh-CN"/>
        </w:rPr>
      </w:pPr>
    </w:p>
    <w:p w14:paraId="6C5388B9">
      <w:pPr>
        <w:spacing w:before="100" w:beforeLines="0" w:after="100" w:afterLines="0"/>
        <w:jc w:val="center"/>
        <w:rPr>
          <w:rFonts w:hint="eastAsia" w:ascii="宋体" w:hAnsi="宋体"/>
          <w:sz w:val="24"/>
          <w:szCs w:val="24"/>
          <w:lang w:val="zh-CN"/>
        </w:rPr>
      </w:pPr>
    </w:p>
    <w:p w14:paraId="427BD734">
      <w:pPr>
        <w:spacing w:before="100" w:beforeLines="0" w:after="100" w:afterLines="0"/>
        <w:jc w:val="center"/>
        <w:rPr>
          <w:rFonts w:hint="eastAsia" w:ascii="宋体" w:hAnsi="宋体"/>
          <w:sz w:val="24"/>
          <w:szCs w:val="24"/>
          <w:lang w:val="zh-CN"/>
        </w:rPr>
      </w:pPr>
    </w:p>
    <w:p w14:paraId="04CDB2A1">
      <w:pPr>
        <w:spacing w:before="100" w:beforeLines="0" w:after="100" w:afterLines="0"/>
        <w:jc w:val="center"/>
        <w:rPr>
          <w:rFonts w:hint="eastAsia" w:ascii="宋体" w:hAnsi="宋体"/>
          <w:sz w:val="24"/>
          <w:szCs w:val="24"/>
          <w:lang w:val="zh-CN"/>
        </w:rPr>
      </w:pPr>
    </w:p>
    <w:p w14:paraId="47935B6D">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35BD8D36">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华池县律师事务所部门决算</w:t>
      </w:r>
    </w:p>
    <w:p w14:paraId="59E66CBC">
      <w:pPr>
        <w:spacing w:before="100" w:beforeLines="0" w:after="100" w:afterLines="0"/>
        <w:jc w:val="center"/>
        <w:rPr>
          <w:rFonts w:hint="eastAsia" w:ascii="宋体" w:hAnsi="宋体"/>
          <w:sz w:val="24"/>
          <w:szCs w:val="24"/>
          <w:lang w:val="zh-CN"/>
        </w:rPr>
      </w:pPr>
    </w:p>
    <w:p w14:paraId="0F8852FD">
      <w:pPr>
        <w:spacing w:before="100" w:beforeLines="0" w:after="100" w:afterLines="0"/>
        <w:jc w:val="center"/>
        <w:rPr>
          <w:rFonts w:hint="eastAsia" w:ascii="宋体" w:hAnsi="宋体"/>
          <w:sz w:val="24"/>
          <w:szCs w:val="24"/>
          <w:lang w:val="zh-CN"/>
        </w:rPr>
      </w:pPr>
    </w:p>
    <w:p w14:paraId="119BB5DD">
      <w:pPr>
        <w:spacing w:before="100" w:beforeLines="0" w:after="100" w:afterLines="0"/>
        <w:jc w:val="center"/>
        <w:rPr>
          <w:rFonts w:hint="eastAsia" w:ascii="宋体" w:hAnsi="宋体"/>
          <w:sz w:val="24"/>
          <w:szCs w:val="24"/>
          <w:lang w:val="zh-CN"/>
        </w:rPr>
      </w:pPr>
    </w:p>
    <w:p w14:paraId="52E5DA05">
      <w:pPr>
        <w:spacing w:before="100" w:beforeLines="0" w:after="100" w:afterLines="0"/>
        <w:jc w:val="center"/>
        <w:rPr>
          <w:rFonts w:hint="eastAsia" w:ascii="宋体" w:hAnsi="宋体"/>
          <w:sz w:val="24"/>
          <w:szCs w:val="24"/>
          <w:lang w:val="zh-CN"/>
        </w:rPr>
      </w:pPr>
    </w:p>
    <w:p w14:paraId="54313B3C">
      <w:pPr>
        <w:spacing w:before="100" w:beforeLines="0" w:after="100" w:afterLines="0"/>
        <w:jc w:val="center"/>
        <w:rPr>
          <w:rFonts w:hint="eastAsia" w:ascii="宋体" w:hAnsi="宋体"/>
          <w:sz w:val="24"/>
          <w:szCs w:val="24"/>
          <w:lang w:val="zh-CN"/>
        </w:rPr>
      </w:pPr>
    </w:p>
    <w:p w14:paraId="1C0C80CF">
      <w:pPr>
        <w:spacing w:before="100" w:beforeLines="0" w:after="100" w:afterLines="0"/>
        <w:jc w:val="center"/>
        <w:rPr>
          <w:rFonts w:hint="eastAsia" w:ascii="宋体" w:hAnsi="宋体"/>
          <w:sz w:val="24"/>
          <w:szCs w:val="24"/>
          <w:lang w:val="zh-CN"/>
        </w:rPr>
      </w:pPr>
    </w:p>
    <w:p w14:paraId="7F55B0FB">
      <w:pPr>
        <w:spacing w:before="100" w:beforeLines="0" w:after="100" w:afterLines="0"/>
        <w:jc w:val="center"/>
        <w:rPr>
          <w:rFonts w:hint="eastAsia" w:ascii="宋体" w:hAnsi="宋体"/>
          <w:sz w:val="24"/>
          <w:szCs w:val="24"/>
          <w:lang w:val="zh-CN"/>
        </w:rPr>
      </w:pPr>
    </w:p>
    <w:p w14:paraId="2BD44BD2">
      <w:pPr>
        <w:spacing w:before="100" w:beforeLines="0" w:after="100" w:afterLines="0"/>
        <w:jc w:val="center"/>
        <w:rPr>
          <w:rFonts w:hint="eastAsia" w:ascii="宋体" w:hAnsi="宋体"/>
          <w:sz w:val="24"/>
          <w:szCs w:val="24"/>
          <w:lang w:val="zh-CN"/>
        </w:rPr>
      </w:pPr>
    </w:p>
    <w:p w14:paraId="4715114B">
      <w:pPr>
        <w:spacing w:before="100" w:beforeLines="0" w:after="100" w:afterLines="0"/>
        <w:jc w:val="center"/>
        <w:rPr>
          <w:rFonts w:hint="eastAsia" w:ascii="宋体" w:hAnsi="宋体"/>
          <w:sz w:val="24"/>
          <w:szCs w:val="24"/>
          <w:lang w:val="zh-CN"/>
        </w:rPr>
      </w:pPr>
    </w:p>
    <w:p w14:paraId="2783EC05">
      <w:pPr>
        <w:spacing w:before="100" w:beforeLines="0" w:after="100" w:afterLines="0"/>
        <w:jc w:val="center"/>
        <w:rPr>
          <w:rFonts w:hint="eastAsia" w:ascii="宋体" w:hAnsi="宋体"/>
          <w:sz w:val="24"/>
          <w:szCs w:val="24"/>
          <w:lang w:val="zh-CN"/>
        </w:rPr>
      </w:pPr>
    </w:p>
    <w:p w14:paraId="78932B99">
      <w:pPr>
        <w:spacing w:before="100" w:beforeLines="0" w:after="100" w:afterLines="0"/>
        <w:jc w:val="center"/>
        <w:rPr>
          <w:rFonts w:hint="eastAsia" w:ascii="宋体" w:hAnsi="宋体"/>
          <w:sz w:val="24"/>
          <w:szCs w:val="24"/>
          <w:lang w:val="zh-CN"/>
        </w:rPr>
      </w:pPr>
    </w:p>
    <w:p w14:paraId="243A70F3">
      <w:pPr>
        <w:spacing w:before="100" w:beforeLines="0" w:after="100" w:afterLines="0"/>
        <w:jc w:val="center"/>
        <w:rPr>
          <w:rFonts w:hint="eastAsia" w:ascii="宋体" w:hAnsi="宋体"/>
          <w:sz w:val="24"/>
          <w:szCs w:val="24"/>
          <w:lang w:val="zh-CN"/>
        </w:rPr>
      </w:pPr>
    </w:p>
    <w:p w14:paraId="69FA035E">
      <w:pPr>
        <w:spacing w:before="100" w:beforeLines="0" w:after="100" w:afterLines="0"/>
        <w:jc w:val="center"/>
        <w:rPr>
          <w:rFonts w:hint="eastAsia" w:ascii="宋体" w:hAnsi="宋体"/>
          <w:sz w:val="24"/>
          <w:szCs w:val="24"/>
          <w:lang w:val="zh-CN"/>
        </w:rPr>
      </w:pPr>
    </w:p>
    <w:p w14:paraId="4751A721">
      <w:pPr>
        <w:spacing w:before="100" w:beforeLines="0" w:after="100" w:afterLines="0"/>
        <w:jc w:val="center"/>
        <w:rPr>
          <w:rFonts w:hint="eastAsia" w:ascii="宋体" w:hAnsi="宋体"/>
          <w:sz w:val="24"/>
          <w:szCs w:val="24"/>
          <w:lang w:val="zh-CN"/>
        </w:rPr>
      </w:pPr>
    </w:p>
    <w:p w14:paraId="0B4803EC">
      <w:pPr>
        <w:spacing w:before="100" w:beforeLines="0" w:after="100" w:afterLines="0"/>
        <w:jc w:val="center"/>
        <w:rPr>
          <w:rFonts w:hint="eastAsia" w:ascii="宋体" w:hAnsi="宋体"/>
          <w:sz w:val="24"/>
          <w:szCs w:val="24"/>
          <w:lang w:val="zh-CN"/>
        </w:rPr>
      </w:pPr>
    </w:p>
    <w:p w14:paraId="0A6E2102">
      <w:pPr>
        <w:spacing w:before="100" w:beforeLines="0" w:after="100" w:afterLines="0"/>
        <w:jc w:val="center"/>
        <w:rPr>
          <w:rFonts w:hint="eastAsia" w:ascii="宋体" w:hAnsi="宋体"/>
          <w:sz w:val="24"/>
          <w:szCs w:val="24"/>
          <w:lang w:val="zh-CN"/>
        </w:rPr>
      </w:pPr>
    </w:p>
    <w:p w14:paraId="4CA39AF8">
      <w:pPr>
        <w:spacing w:before="100" w:beforeLines="0" w:after="100" w:afterLines="0"/>
        <w:jc w:val="center"/>
        <w:rPr>
          <w:rFonts w:hint="eastAsia" w:ascii="宋体" w:hAnsi="宋体"/>
          <w:sz w:val="24"/>
          <w:szCs w:val="24"/>
          <w:lang w:val="zh-CN"/>
        </w:rPr>
      </w:pPr>
    </w:p>
    <w:p w14:paraId="438E7AA7">
      <w:pPr>
        <w:spacing w:before="100" w:beforeLines="0" w:after="100" w:afterLines="0"/>
        <w:jc w:val="center"/>
        <w:rPr>
          <w:rFonts w:hint="eastAsia" w:ascii="宋体" w:hAnsi="宋体"/>
          <w:sz w:val="24"/>
          <w:szCs w:val="24"/>
          <w:lang w:val="zh-CN"/>
        </w:rPr>
      </w:pPr>
    </w:p>
    <w:p w14:paraId="53F0613A">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2D41C32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4DEB8E6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257BD6C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36EECD1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7DF1EE6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1857281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2A2C86C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3653EF8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034AED6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5C46045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20266AD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5F0BD91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02929F0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790C7AD0">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48B0FAE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6406BF4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84EB1A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046994B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10A2934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55F95EE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306FB621">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4947990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19085FC7">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4FE8F80C">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5F389F3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001D692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7229EFA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0532440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301A715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29EA3CB6">
      <w:pPr>
        <w:spacing w:before="100" w:beforeLines="0" w:after="100" w:afterLines="0"/>
        <w:jc w:val="center"/>
        <w:rPr>
          <w:rFonts w:hint="eastAsia" w:ascii="宋体" w:hAnsi="宋体"/>
          <w:sz w:val="24"/>
          <w:szCs w:val="24"/>
          <w:lang w:val="zh-CN"/>
        </w:rPr>
      </w:pPr>
    </w:p>
    <w:p w14:paraId="64292F09">
      <w:pPr>
        <w:spacing w:before="100" w:beforeLines="0" w:after="100" w:afterLines="0"/>
        <w:jc w:val="center"/>
        <w:rPr>
          <w:rFonts w:hint="eastAsia" w:ascii="宋体" w:hAnsi="宋体"/>
          <w:sz w:val="24"/>
          <w:szCs w:val="24"/>
          <w:lang w:val="zh-CN"/>
        </w:rPr>
      </w:pPr>
    </w:p>
    <w:p w14:paraId="68E5B9D4">
      <w:pPr>
        <w:spacing w:before="100" w:beforeLines="0" w:after="100" w:afterLines="0"/>
        <w:jc w:val="center"/>
        <w:rPr>
          <w:rFonts w:hint="eastAsia" w:ascii="宋体" w:hAnsi="宋体"/>
          <w:sz w:val="24"/>
          <w:szCs w:val="24"/>
          <w:lang w:val="zh-CN"/>
        </w:rPr>
      </w:pPr>
    </w:p>
    <w:p w14:paraId="5E8B7BF1">
      <w:pPr>
        <w:spacing w:before="100" w:beforeLines="0" w:after="100" w:afterLines="0"/>
        <w:jc w:val="center"/>
        <w:rPr>
          <w:rFonts w:hint="eastAsia" w:ascii="宋体" w:hAnsi="宋体"/>
          <w:sz w:val="24"/>
          <w:szCs w:val="24"/>
          <w:lang w:val="zh-CN"/>
        </w:rPr>
      </w:pPr>
    </w:p>
    <w:p w14:paraId="6EB93F2D">
      <w:pPr>
        <w:spacing w:before="100" w:beforeLines="0" w:after="100" w:afterLines="0"/>
        <w:jc w:val="center"/>
        <w:rPr>
          <w:rFonts w:hint="eastAsia" w:ascii="宋体" w:hAnsi="宋体"/>
          <w:sz w:val="24"/>
          <w:szCs w:val="24"/>
          <w:lang w:val="zh-CN"/>
        </w:rPr>
      </w:pPr>
    </w:p>
    <w:p w14:paraId="46B9DE4D">
      <w:pPr>
        <w:spacing w:before="100" w:beforeLines="0" w:after="100" w:afterLines="0"/>
        <w:jc w:val="center"/>
        <w:rPr>
          <w:rFonts w:hint="eastAsia" w:ascii="宋体" w:hAnsi="宋体"/>
          <w:sz w:val="24"/>
          <w:szCs w:val="24"/>
          <w:lang w:val="zh-CN"/>
        </w:rPr>
      </w:pPr>
    </w:p>
    <w:p w14:paraId="373ED9D8">
      <w:pPr>
        <w:spacing w:before="100" w:beforeLines="0" w:after="100" w:afterLines="0"/>
        <w:jc w:val="center"/>
        <w:rPr>
          <w:rFonts w:hint="eastAsia" w:ascii="宋体" w:hAnsi="宋体"/>
          <w:sz w:val="24"/>
          <w:szCs w:val="24"/>
          <w:lang w:val="zh-CN"/>
        </w:rPr>
      </w:pPr>
    </w:p>
    <w:p w14:paraId="0CEEA076">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609B65E3">
      <w:pPr>
        <w:spacing w:before="100" w:beforeLines="0" w:after="100" w:afterLines="0"/>
        <w:jc w:val="left"/>
        <w:rPr>
          <w:rFonts w:hint="eastAsia" w:ascii="宋体" w:hAnsi="宋体"/>
          <w:b/>
          <w:bCs/>
          <w:sz w:val="24"/>
          <w:szCs w:val="24"/>
          <w:lang w:val="zh-CN"/>
        </w:rPr>
      </w:pPr>
      <w:r>
        <w:rPr>
          <w:rFonts w:hint="eastAsia" w:ascii="宋体" w:hAnsi="宋体"/>
          <w:b/>
          <w:bCs/>
          <w:sz w:val="24"/>
          <w:szCs w:val="24"/>
          <w:lang w:val="zh-CN"/>
        </w:rPr>
        <w:t>一、部门职责</w:t>
      </w:r>
    </w:p>
    <w:p w14:paraId="54EBBA67">
      <w:pPr>
        <w:spacing w:before="100" w:beforeLines="0" w:after="100" w:afterLines="0"/>
        <w:jc w:val="left"/>
        <w:rPr>
          <w:rFonts w:hint="eastAsia" w:asciiTheme="minorEastAsia" w:hAnsiTheme="minorEastAsia" w:eastAsiaTheme="minorEastAsia" w:cstheme="minorEastAsia"/>
          <w:i w:val="0"/>
          <w:iCs w:val="0"/>
          <w:caps w:val="0"/>
          <w:color w:val="333333"/>
          <w:spacing w:val="0"/>
          <w:sz w:val="24"/>
          <w:szCs w:val="24"/>
          <w:shd w:val="clear" w:fill="FFFFFF"/>
        </w:rPr>
      </w:pPr>
      <w:r>
        <w:rPr>
          <w:rFonts w:hint="eastAsia" w:asciiTheme="minorEastAsia" w:hAnsiTheme="minorEastAsia" w:eastAsiaTheme="minorEastAsia" w:cstheme="minorEastAsia"/>
          <w:i w:val="0"/>
          <w:iCs w:val="0"/>
          <w:caps w:val="0"/>
          <w:color w:val="333333"/>
          <w:spacing w:val="0"/>
          <w:sz w:val="24"/>
          <w:szCs w:val="24"/>
          <w:shd w:val="clear" w:fill="FFFFFF"/>
        </w:rPr>
        <w:t>华池县律师事务所的职责是办理各类诉讼事务和相关的法律事务，为社会提供法律服务和法律保障，引导公民、法人正确确设立、变更或终止法律行为，维护经济秩序和社会主义法制，预防纠纷，减少诉讼，制止不法行为，保护国家利益和公民、法人的合法权益，促进社会安定团结和现代化建设事业顺利进行。</w:t>
      </w:r>
    </w:p>
    <w:p w14:paraId="730D0D63">
      <w:pPr>
        <w:spacing w:before="100" w:beforeLines="0" w:after="100" w:afterLines="0"/>
        <w:jc w:val="left"/>
        <w:rPr>
          <w:rFonts w:hint="eastAsia" w:ascii="宋体" w:hAnsi="宋体"/>
          <w:b/>
          <w:bCs/>
          <w:color w:val="auto"/>
          <w:sz w:val="24"/>
          <w:szCs w:val="24"/>
          <w:lang w:val="zh-CN"/>
        </w:rPr>
      </w:pPr>
      <w:r>
        <w:rPr>
          <w:rFonts w:hint="eastAsia" w:ascii="宋体" w:hAnsi="宋体"/>
          <w:b/>
          <w:bCs/>
          <w:color w:val="auto"/>
          <w:sz w:val="24"/>
          <w:szCs w:val="24"/>
          <w:lang w:val="zh-CN"/>
        </w:rPr>
        <w:t>二、机构设置</w:t>
      </w:r>
    </w:p>
    <w:p w14:paraId="5CA369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jc w:val="lef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（1）机关内设机构</w:t>
      </w:r>
    </w:p>
    <w:p w14:paraId="62824E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jc w:val="lef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华池县律师事务所系华池县司法局下属二级单位。</w:t>
      </w:r>
    </w:p>
    <w:p w14:paraId="5E91DA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jc w:val="left"/>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shd w:val="clear" w:fill="FFFFFF"/>
        </w:rPr>
        <w:t>（2）人员情况</w:t>
      </w:r>
    </w:p>
    <w:p w14:paraId="0DAA85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right="0"/>
        <w:jc w:val="left"/>
        <w:rPr>
          <w:rFonts w:hint="eastAsia" w:asciiTheme="minorEastAsia" w:hAnsiTheme="minorEastAsia" w:eastAsiaTheme="minorEastAsia" w:cstheme="minorEastAsia"/>
          <w:i w:val="0"/>
          <w:iCs w:val="0"/>
          <w:caps w:val="0"/>
          <w:color w:val="333333"/>
          <w:spacing w:val="0"/>
          <w:sz w:val="24"/>
          <w:szCs w:val="24"/>
        </w:rPr>
      </w:pPr>
      <w:bookmarkStart w:id="0" w:name="_GoBack"/>
      <w:bookmarkEnd w:id="0"/>
      <w:r>
        <w:rPr>
          <w:rFonts w:hint="eastAsia" w:asciiTheme="minorEastAsia" w:hAnsiTheme="minorEastAsia" w:eastAsiaTheme="minorEastAsia" w:cstheme="minorEastAsia"/>
          <w:i w:val="0"/>
          <w:iCs w:val="0"/>
          <w:caps w:val="0"/>
          <w:color w:val="333333"/>
          <w:spacing w:val="0"/>
          <w:sz w:val="24"/>
          <w:szCs w:val="24"/>
          <w:shd w:val="clear" w:fill="FFFFFF"/>
        </w:rPr>
        <w:t>202</w:t>
      </w:r>
      <w:r>
        <w:rPr>
          <w:rFonts w:hint="eastAsia" w:asciiTheme="minorEastAsia" w:hAnsiTheme="minorEastAsia" w:eastAsiaTheme="minorEastAsia" w:cstheme="minorEastAsia"/>
          <w:i w:val="0"/>
          <w:iCs w:val="0"/>
          <w:caps w:val="0"/>
          <w:color w:val="333333"/>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333333"/>
          <w:spacing w:val="0"/>
          <w:sz w:val="24"/>
          <w:szCs w:val="24"/>
          <w:shd w:val="clear" w:fill="FFFFFF"/>
        </w:rPr>
        <w:t>年度，我单位现有编制数</w:t>
      </w:r>
      <w:r>
        <w:rPr>
          <w:rFonts w:hint="eastAsia" w:asciiTheme="minorEastAsia" w:hAnsiTheme="minorEastAsia" w:eastAsiaTheme="minorEastAsia" w:cstheme="minorEastAsia"/>
          <w:i w:val="0"/>
          <w:iCs w:val="0"/>
          <w:caps w:val="0"/>
          <w:color w:val="333333"/>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333333"/>
          <w:spacing w:val="0"/>
          <w:sz w:val="24"/>
          <w:szCs w:val="24"/>
          <w:shd w:val="clear" w:fill="FFFFFF"/>
        </w:rPr>
        <w:t>个，现有职工</w:t>
      </w:r>
      <w:r>
        <w:rPr>
          <w:rFonts w:hint="eastAsia" w:asciiTheme="minorEastAsia" w:hAnsiTheme="minorEastAsia" w:eastAsiaTheme="minorEastAsia" w:cstheme="minorEastAsia"/>
          <w:i w:val="0"/>
          <w:iCs w:val="0"/>
          <w:caps w:val="0"/>
          <w:color w:val="333333"/>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333333"/>
          <w:spacing w:val="0"/>
          <w:sz w:val="24"/>
          <w:szCs w:val="24"/>
          <w:shd w:val="clear" w:fill="FFFFFF"/>
        </w:rPr>
        <w:t>人,其中正式在职职工1人（</w:t>
      </w:r>
      <w:r>
        <w:rPr>
          <w:rFonts w:hint="eastAsia" w:asciiTheme="minorEastAsia" w:hAnsiTheme="minorEastAsia" w:eastAsiaTheme="minorEastAsia" w:cstheme="minorEastAsia"/>
          <w:i w:val="0"/>
          <w:iCs w:val="0"/>
          <w:caps w:val="0"/>
          <w:color w:val="333333"/>
          <w:spacing w:val="0"/>
          <w:sz w:val="24"/>
          <w:szCs w:val="24"/>
          <w:shd w:val="clear" w:fill="FFFFFF"/>
          <w:lang w:val="en-US" w:eastAsia="zh-CN"/>
        </w:rPr>
        <w:t>八级职员</w:t>
      </w:r>
      <w:r>
        <w:rPr>
          <w:rFonts w:hint="eastAsia" w:asciiTheme="minorEastAsia" w:hAnsiTheme="minorEastAsia" w:eastAsiaTheme="minorEastAsia" w:cstheme="minorEastAsia"/>
          <w:i w:val="0"/>
          <w:iCs w:val="0"/>
          <w:caps w:val="0"/>
          <w:color w:val="333333"/>
          <w:spacing w:val="0"/>
          <w:sz w:val="24"/>
          <w:szCs w:val="24"/>
          <w:shd w:val="clear" w:fill="FFFFFF"/>
        </w:rPr>
        <w:t>）。</w:t>
      </w:r>
    </w:p>
    <w:p w14:paraId="698B324D">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w:t>
      </w:r>
    </w:p>
    <w:p w14:paraId="0E5F653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010AC70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206F5B3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79F4894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5E0605F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4EF918F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01816E9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709EA7A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26FFCBC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0C240535">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6C8F23C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64C8F6DC">
      <w:pPr>
        <w:spacing w:before="100" w:beforeLines="0" w:after="100" w:afterLines="0"/>
        <w:jc w:val="left"/>
        <w:rPr>
          <w:rFonts w:hint="default" w:ascii="宋体" w:hAnsi="宋体" w:eastAsia="宋体"/>
          <w:color w:val="FF0000"/>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17.96万元。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减少2.84万元,下降13.65%,</w:t>
      </w:r>
      <w:r>
        <w:rPr>
          <w:rFonts w:hint="eastAsia" w:ascii="宋体" w:hAnsi="宋体"/>
          <w:color w:val="auto"/>
          <w:sz w:val="24"/>
          <w:szCs w:val="24"/>
          <w:lang w:val="en-US" w:eastAsia="zh-CN"/>
        </w:rPr>
        <w:t>主要原因是个人经费未支出。</w:t>
      </w:r>
    </w:p>
    <w:p w14:paraId="3AFB75E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3A6D30B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2023年度收入合计17.96万元,其中：财政拨款收入17.96万元,占100.00%。</w:t>
      </w:r>
    </w:p>
    <w:p w14:paraId="142E3F1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5A48C03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2023年度支出合计17.96万元,其中：基本支出17.96万元,占100.00%。</w:t>
      </w:r>
    </w:p>
    <w:p w14:paraId="0565A9A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29D2B60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17.96万元。与</w:t>
      </w:r>
      <w:r>
        <w:rPr>
          <w:rFonts w:hint="eastAsia" w:ascii="宋体" w:hAnsi="宋体"/>
          <w:color w:val="auto"/>
          <w:sz w:val="24"/>
          <w:szCs w:val="24"/>
          <w:lang w:val="en-US"/>
        </w:rPr>
        <w:t>上</w:t>
      </w:r>
      <w:r>
        <w:rPr>
          <w:rFonts w:hint="eastAsia" w:ascii="宋体" w:hAnsi="宋体"/>
          <w:color w:val="auto"/>
          <w:sz w:val="24"/>
          <w:szCs w:val="24"/>
          <w:lang w:val="zh-CN"/>
        </w:rPr>
        <w:t>年相比,各减少2.84万元,下降13.65%。</w:t>
      </w:r>
      <w:r>
        <w:rPr>
          <w:rFonts w:hint="eastAsia" w:ascii="宋体" w:hAnsi="宋体"/>
          <w:color w:val="auto"/>
          <w:sz w:val="24"/>
          <w:szCs w:val="24"/>
          <w:lang w:val="en-US" w:eastAsia="zh-CN"/>
        </w:rPr>
        <w:t>主要原因是个人经费未支出</w:t>
      </w:r>
    </w:p>
    <w:p w14:paraId="54F3D61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271955D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5B231519">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2023年度一般公共预算财政拨款支出17.96万元,较上年决算数减少1.55万元,下降7.94%。</w:t>
      </w:r>
      <w:r>
        <w:rPr>
          <w:rFonts w:hint="eastAsia" w:ascii="宋体" w:hAnsi="宋体"/>
          <w:color w:val="auto"/>
          <w:sz w:val="24"/>
          <w:szCs w:val="24"/>
          <w:lang w:val="en-US" w:eastAsia="zh-CN"/>
        </w:rPr>
        <w:t>主要原因是个人经费未支出。</w:t>
      </w:r>
    </w:p>
    <w:p w14:paraId="06A232CA">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24CEEDE9">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17.96万元，主要用于以下方面：公共安全支出15.03万元,占83.7%；社会保障和就业支出1.84万元,占10.25%；卫生健康支出1.09万元,占6.05%。</w:t>
      </w:r>
    </w:p>
    <w:p w14:paraId="31432569">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6DECD8B2">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19.71万元,支出决算为17.96万元,完成年初预算的91.1%。其中：</w:t>
      </w:r>
    </w:p>
    <w:p w14:paraId="508C3881">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年初预算数为16.71万元,支出决算为15.03万元,完成年初预算的89.93%,决算数小于预算数的</w:t>
      </w:r>
      <w:r>
        <w:rPr>
          <w:rFonts w:hint="eastAsia" w:ascii="宋体" w:hAnsi="宋体"/>
          <w:color w:val="auto"/>
          <w:sz w:val="24"/>
          <w:szCs w:val="24"/>
          <w:lang w:val="en-US" w:eastAsia="zh-CN"/>
        </w:rPr>
        <w:t>主要原因是个人经费未支出。</w:t>
      </w:r>
    </w:p>
    <w:p w14:paraId="0541A9D7">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年初预算数为2.27万元,支出决算为1.84万元,完成年初预算的80.97%,决算数小于预算数的</w:t>
      </w:r>
      <w:r>
        <w:rPr>
          <w:rFonts w:hint="eastAsia" w:asciiTheme="minorEastAsia" w:hAnsiTheme="minorEastAsia" w:eastAsiaTheme="minorEastAsia" w:cstheme="minorEastAsia"/>
          <w:color w:val="auto"/>
          <w:sz w:val="24"/>
          <w:szCs w:val="24"/>
          <w:lang w:val="zh-CN"/>
        </w:rPr>
        <w:t>年末待支付的各类保险未完成支付。</w:t>
      </w:r>
    </w:p>
    <w:p w14:paraId="3E75E94B">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年初预算数为0.72万元,支出决算为1.09万元,完成年初预算的150.0%,决算数大于预算数的主要原因是2023年度支付了上年度未支付的金额。</w:t>
      </w:r>
    </w:p>
    <w:p w14:paraId="76A68FA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70A7FCB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2023年度一般公共预算财政拨款基本支出17.96万元。其中：</w:t>
      </w:r>
    </w:p>
    <w:p w14:paraId="7882D092">
      <w:pPr>
        <w:spacing w:before="100" w:beforeLines="0" w:after="100" w:afterLines="0"/>
        <w:jc w:val="left"/>
        <w:rPr>
          <w:rFonts w:ascii="楷体_GB2312" w:hAnsi="宋体" w:eastAsia="楷体_GB2312" w:cs="楷体_GB2312"/>
          <w:i w:val="0"/>
          <w:iCs w:val="0"/>
          <w:caps w:val="0"/>
          <w:color w:val="333333"/>
          <w:spacing w:val="0"/>
          <w:sz w:val="24"/>
          <w:szCs w:val="24"/>
          <w:shd w:val="clear" w:fill="FFFFFF"/>
        </w:rPr>
      </w:pPr>
      <w:r>
        <w:rPr>
          <w:rFonts w:hint="eastAsia" w:ascii="宋体" w:hAnsi="宋体"/>
          <w:b/>
          <w:color w:val="auto"/>
          <w:sz w:val="24"/>
          <w:szCs w:val="24"/>
          <w:lang w:val="zh-CN"/>
        </w:rPr>
        <w:t>人员经费</w:t>
      </w:r>
      <w:r>
        <w:rPr>
          <w:rFonts w:hint="eastAsia" w:ascii="宋体" w:hAnsi="宋体"/>
          <w:color w:val="auto"/>
          <w:sz w:val="24"/>
          <w:szCs w:val="24"/>
          <w:lang w:val="zh-CN"/>
        </w:rPr>
        <w:t>17.95万元,较上年决算数减少1.03万元,下降5.45%,</w:t>
      </w:r>
      <w:r>
        <w:rPr>
          <w:rFonts w:hint="eastAsia" w:ascii="宋体" w:hAnsi="宋体"/>
          <w:color w:val="auto"/>
          <w:sz w:val="24"/>
          <w:szCs w:val="24"/>
          <w:lang w:val="en-US" w:eastAsia="zh-CN"/>
        </w:rPr>
        <w:t>主要原因是个人经费未支出。</w:t>
      </w:r>
      <w:r>
        <w:rPr>
          <w:rFonts w:ascii="楷体_GB2312" w:hAnsi="宋体" w:eastAsia="楷体_GB2312" w:cs="楷体_GB2312"/>
          <w:i w:val="0"/>
          <w:iCs w:val="0"/>
          <w:caps w:val="0"/>
          <w:color w:val="333333"/>
          <w:spacing w:val="0"/>
          <w:sz w:val="24"/>
          <w:szCs w:val="24"/>
          <w:shd w:val="clear" w:fill="FFFFFF"/>
        </w:rPr>
        <w:t>人员经费用途主要包括基本工资、津贴补贴、奖金、社会保障缴费。</w:t>
      </w:r>
    </w:p>
    <w:p w14:paraId="1689B0A3">
      <w:pPr>
        <w:spacing w:before="100" w:beforeLines="0" w:after="100" w:afterLines="0"/>
        <w:jc w:val="left"/>
        <w:rPr>
          <w:rFonts w:hint="eastAsia" w:ascii="宋体" w:hAnsi="宋体" w:eastAsia="宋体" w:cs="宋体"/>
          <w:i w:val="0"/>
          <w:iCs w:val="0"/>
          <w:caps w:val="0"/>
          <w:color w:val="333333"/>
          <w:spacing w:val="0"/>
          <w:sz w:val="24"/>
          <w:szCs w:val="24"/>
          <w:shd w:val="clear" w:fill="FFFFFF"/>
        </w:rPr>
      </w:pPr>
      <w:r>
        <w:rPr>
          <w:rFonts w:hint="eastAsia" w:ascii="宋体" w:hAnsi="宋体"/>
          <w:b/>
          <w:color w:val="auto"/>
          <w:sz w:val="24"/>
          <w:szCs w:val="24"/>
          <w:lang w:val="zh-CN"/>
        </w:rPr>
        <w:t>公用经费</w:t>
      </w:r>
      <w:r>
        <w:rPr>
          <w:rFonts w:hint="eastAsia" w:ascii="宋体" w:hAnsi="宋体"/>
          <w:color w:val="auto"/>
          <w:sz w:val="24"/>
          <w:szCs w:val="24"/>
          <w:lang w:val="zh-CN"/>
        </w:rPr>
        <w:t>0.01万元,较上年决算数减少0.52万元,下降97.93%,</w:t>
      </w:r>
      <w:r>
        <w:rPr>
          <w:rFonts w:hint="eastAsia" w:ascii="宋体" w:hAnsi="宋体" w:eastAsia="宋体" w:cs="宋体"/>
          <w:i w:val="0"/>
          <w:iCs w:val="0"/>
          <w:caps w:val="0"/>
          <w:color w:val="333333"/>
          <w:spacing w:val="0"/>
          <w:sz w:val="24"/>
          <w:szCs w:val="24"/>
          <w:shd w:val="clear" w:fill="FFFFFF"/>
        </w:rPr>
        <w:t>主要原因是经费精简，支出减少。公用经费用途主要包括办公费、印刷费、水费、取暖费、差旅费、维修费。</w:t>
      </w:r>
    </w:p>
    <w:p w14:paraId="4B698A7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1BB150BC">
      <w:pPr>
        <w:spacing w:before="100" w:beforeLines="0" w:after="100" w:afterLines="0"/>
        <w:jc w:val="left"/>
        <w:rPr>
          <w:rFonts w:hint="eastAsia" w:ascii="宋体" w:hAnsi="宋体" w:eastAsia="宋体"/>
          <w:color w:val="FF0000"/>
          <w:sz w:val="24"/>
          <w:szCs w:val="24"/>
          <w:lang w:val="en-US" w:eastAsia="zh-CN"/>
        </w:rPr>
      </w:pPr>
    </w:p>
    <w:p w14:paraId="03374CB6">
      <w:pPr>
        <w:spacing w:before="100" w:beforeLines="0" w:after="100" w:afterLines="0"/>
        <w:jc w:val="left"/>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lang w:val="zh-CN"/>
        </w:rPr>
        <w:t>“本部门2023年度无政府性基金收入,也没有使用政府性基金安排的支出。</w:t>
      </w:r>
    </w:p>
    <w:p w14:paraId="4DFD21F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1F366D11">
      <w:pPr>
        <w:spacing w:before="100" w:beforeLines="0" w:after="100" w:afterLines="0"/>
        <w:jc w:val="left"/>
        <w:rPr>
          <w:rFonts w:hint="eastAsia" w:asciiTheme="minorEastAsia" w:hAnsiTheme="minorEastAsia" w:eastAsiaTheme="minorEastAsia" w:cstheme="minorEastAsia"/>
          <w:color w:val="FF0000"/>
          <w:sz w:val="24"/>
          <w:szCs w:val="24"/>
          <w:lang w:val="zh-CN"/>
        </w:rPr>
      </w:pPr>
      <w:r>
        <w:rPr>
          <w:rFonts w:hint="eastAsia" w:asciiTheme="minorEastAsia" w:hAnsiTheme="minorEastAsia" w:eastAsiaTheme="minorEastAsia" w:cstheme="minorEastAsia"/>
          <w:color w:val="auto"/>
          <w:sz w:val="24"/>
          <w:szCs w:val="24"/>
          <w:lang w:val="zh-CN"/>
        </w:rPr>
        <w:t>本部门2023年度没有使用国有资本经营预算安排的支出。</w:t>
      </w:r>
    </w:p>
    <w:p w14:paraId="3D3920A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C918D25">
      <w:pPr>
        <w:spacing w:before="100" w:beforeLines="0" w:after="100" w:afterLines="0"/>
        <w:jc w:val="left"/>
        <w:rPr>
          <w:rFonts w:hint="eastAsia" w:asciiTheme="minorEastAsia" w:hAnsiTheme="minorEastAsia" w:eastAsiaTheme="minorEastAsia" w:cstheme="minorEastAsia"/>
          <w:i w:val="0"/>
          <w:iCs w:val="0"/>
          <w:caps w:val="0"/>
          <w:color w:val="333333"/>
          <w:spacing w:val="0"/>
          <w:sz w:val="24"/>
          <w:szCs w:val="24"/>
          <w:shd w:val="clear" w:fill="FFFFFF"/>
        </w:rPr>
      </w:pPr>
      <w:r>
        <w:rPr>
          <w:rFonts w:hint="eastAsia" w:asciiTheme="minorEastAsia" w:hAnsiTheme="minorEastAsia" w:eastAsiaTheme="minorEastAsia" w:cstheme="minorEastAsia"/>
          <w:i w:val="0"/>
          <w:iCs w:val="0"/>
          <w:caps w:val="0"/>
          <w:color w:val="333333"/>
          <w:spacing w:val="0"/>
          <w:sz w:val="24"/>
          <w:szCs w:val="24"/>
          <w:shd w:val="clear" w:fill="FFFFFF"/>
          <w:lang w:val="en-US" w:eastAsia="zh-CN"/>
        </w:rPr>
        <w:t>本部门</w:t>
      </w:r>
      <w:r>
        <w:rPr>
          <w:rFonts w:hint="eastAsia" w:asciiTheme="minorEastAsia" w:hAnsiTheme="minorEastAsia" w:eastAsiaTheme="minorEastAsia" w:cstheme="minorEastAsia"/>
          <w:i w:val="0"/>
          <w:iCs w:val="0"/>
          <w:caps w:val="0"/>
          <w:color w:val="333333"/>
          <w:spacing w:val="0"/>
          <w:sz w:val="24"/>
          <w:szCs w:val="24"/>
          <w:shd w:val="clear" w:fill="FFFFFF"/>
        </w:rPr>
        <w:t>2022年无“三公”经费支出。</w:t>
      </w:r>
    </w:p>
    <w:p w14:paraId="30B2CC51">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27E711E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4876784B">
      <w:pPr>
        <w:spacing w:before="100" w:beforeLines="0" w:after="100" w:afterLines="0"/>
        <w:jc w:val="left"/>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我单位202</w:t>
      </w:r>
      <w:r>
        <w:rPr>
          <w:rFonts w:hint="eastAsia" w:ascii="宋体" w:hAnsi="宋体" w:eastAsia="宋体" w:cs="宋体"/>
          <w:i w:val="0"/>
          <w:iCs w:val="0"/>
          <w:caps w:val="0"/>
          <w:color w:val="333333"/>
          <w:spacing w:val="0"/>
          <w:sz w:val="24"/>
          <w:szCs w:val="24"/>
          <w:shd w:val="clear" w:fill="FFFFFF"/>
          <w:lang w:val="en-US" w:eastAsia="zh-CN"/>
        </w:rPr>
        <w:t>3</w:t>
      </w:r>
      <w:r>
        <w:rPr>
          <w:rFonts w:hint="eastAsia" w:ascii="宋体" w:hAnsi="宋体" w:eastAsia="宋体" w:cs="宋体"/>
          <w:i w:val="0"/>
          <w:iCs w:val="0"/>
          <w:caps w:val="0"/>
          <w:color w:val="333333"/>
          <w:spacing w:val="0"/>
          <w:sz w:val="24"/>
          <w:szCs w:val="24"/>
          <w:shd w:val="clear" w:fill="FFFFFF"/>
        </w:rPr>
        <w:t>年度无机关运行相关经费。</w:t>
      </w:r>
    </w:p>
    <w:p w14:paraId="02E1816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48A9463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1355643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199121EC">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我单位2022年度无公务用车。</w:t>
      </w:r>
    </w:p>
    <w:p w14:paraId="1E99BDF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156DCF7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565BEF89">
      <w:pPr>
        <w:spacing w:before="100" w:beforeLines="0" w:after="100" w:afterLines="0"/>
        <w:jc w:val="left"/>
        <w:rPr>
          <w:rFonts w:hint="eastAsia" w:ascii="宋体" w:hAnsi="宋体"/>
          <w:color w:val="FF0000"/>
          <w:sz w:val="24"/>
          <w:szCs w:val="24"/>
          <w:lang w:val="zh-CN"/>
        </w:rPr>
      </w:pPr>
    </w:p>
    <w:p w14:paraId="111D0D3D">
      <w:pPr>
        <w:spacing w:before="100" w:beforeLines="0" w:after="100" w:afterLines="0"/>
        <w:jc w:val="left"/>
        <w:rPr>
          <w:rFonts w:hint="eastAsia" w:ascii="宋体" w:hAnsi="宋体"/>
          <w:color w:val="auto"/>
          <w:sz w:val="24"/>
          <w:szCs w:val="24"/>
          <w:lang w:val="zh-CN"/>
        </w:rPr>
      </w:pPr>
    </w:p>
    <w:p w14:paraId="6561A50B">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5DE87D5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7BA76FF5">
      <w:pPr>
        <w:keepNext/>
        <w:keepLines/>
        <w:suppressLineNumbers/>
        <w:spacing w:beforeLines="0" w:afterLines="0"/>
        <w:ind w:firstLine="480" w:firstLineChars="200"/>
        <w:jc w:val="both"/>
        <w:rPr>
          <w:rFonts w:hint="eastAsia" w:ascii="宋体" w:hAnsi="宋体" w:eastAsia="宋体" w:cs="宋体"/>
          <w:color w:val="auto"/>
          <w:sz w:val="24"/>
          <w:szCs w:val="24"/>
          <w:lang w:val="zh-CN" w:eastAsia="zh-CN"/>
        </w:rPr>
      </w:pPr>
      <w:r>
        <w:rPr>
          <w:rFonts w:hint="eastAsia" w:ascii="宋体" w:hAnsi="宋体" w:eastAsia="宋体" w:cs="宋体"/>
          <w:color w:val="000000"/>
          <w:kern w:val="0"/>
          <w:sz w:val="24"/>
          <w:szCs w:val="24"/>
          <w:lang w:val="en-US"/>
        </w:rPr>
        <w:t>根据预算绩效管理要求,本部门对2022年度一般公共预算支出全面开展绩效自评,共涉及资金</w:t>
      </w:r>
      <w:r>
        <w:rPr>
          <w:rFonts w:hint="eastAsia" w:ascii="宋体" w:hAnsi="宋体" w:eastAsia="宋体" w:cs="宋体"/>
          <w:color w:val="000000"/>
          <w:kern w:val="0"/>
          <w:sz w:val="24"/>
          <w:szCs w:val="24"/>
          <w:lang w:val="en-US" w:eastAsia="zh-CN"/>
        </w:rPr>
        <w:t>179，600</w:t>
      </w:r>
      <w:r>
        <w:rPr>
          <w:rFonts w:hint="eastAsia" w:ascii="宋体" w:hAnsi="宋体" w:eastAsia="宋体" w:cs="宋体"/>
          <w:color w:val="000000"/>
          <w:kern w:val="0"/>
          <w:sz w:val="24"/>
          <w:szCs w:val="24"/>
          <w:lang w:val="en-US"/>
        </w:rPr>
        <w:t>元,</w:t>
      </w:r>
      <w:r>
        <w:rPr>
          <w:rFonts w:hint="eastAsia" w:ascii="宋体" w:hAnsi="宋体" w:eastAsia="宋体" w:cs="宋体"/>
          <w:color w:val="auto"/>
          <w:kern w:val="2"/>
          <w:sz w:val="24"/>
          <w:szCs w:val="24"/>
          <w:lang w:val="en-US"/>
        </w:rPr>
        <w:t>主要用于职工的工资福利支出、五险一金支出及商品服务支出</w:t>
      </w:r>
      <w:r>
        <w:rPr>
          <w:rFonts w:hint="eastAsia" w:ascii="宋体" w:hAnsi="宋体" w:eastAsia="宋体" w:cs="宋体"/>
          <w:color w:val="auto"/>
          <w:kern w:val="2"/>
          <w:sz w:val="24"/>
          <w:szCs w:val="24"/>
          <w:lang w:val="en-US" w:eastAsia="zh-CN"/>
        </w:rPr>
        <w:t>、对家庭和个人的补助</w:t>
      </w:r>
      <w:r>
        <w:rPr>
          <w:rFonts w:hint="eastAsia" w:ascii="宋体" w:hAnsi="宋体" w:eastAsia="宋体" w:cs="宋体"/>
          <w:color w:val="000000"/>
          <w:kern w:val="0"/>
          <w:sz w:val="24"/>
          <w:szCs w:val="24"/>
          <w:lang w:val="en-US"/>
        </w:rPr>
        <w:t>占一般公共预算支出总额的100%。从评价情况来看,我部门2022年资金整体支出绩效评价得分100分，评价等级为“优”</w:t>
      </w:r>
      <w:r>
        <w:rPr>
          <w:rFonts w:hint="eastAsia" w:ascii="宋体" w:hAnsi="宋体" w:cs="宋体"/>
          <w:color w:val="000000"/>
          <w:kern w:val="0"/>
          <w:sz w:val="24"/>
          <w:szCs w:val="24"/>
          <w:lang w:val="en-US" w:eastAsia="zh-CN"/>
        </w:rPr>
        <w:t>。</w:t>
      </w:r>
    </w:p>
    <w:p w14:paraId="7CBF55E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7CF5F4C2">
      <w:pPr>
        <w:spacing w:before="100" w:beforeLines="0" w:after="100" w:afterLines="0"/>
        <w:jc w:val="left"/>
        <w:rPr>
          <w:rFonts w:hint="eastAsia" w:ascii="宋体" w:hAnsi="宋体" w:eastAsia="宋体" w:cs="宋体"/>
          <w:color w:val="auto"/>
          <w:kern w:val="2"/>
          <w:sz w:val="24"/>
          <w:szCs w:val="24"/>
          <w:lang w:val="zh-CN"/>
        </w:rPr>
      </w:pPr>
      <w:r>
        <w:rPr>
          <w:rFonts w:hint="eastAsia" w:ascii="宋体" w:hAnsi="宋体" w:eastAsia="宋体" w:cs="宋体"/>
          <w:color w:val="auto"/>
          <w:kern w:val="2"/>
          <w:sz w:val="24"/>
          <w:szCs w:val="24"/>
          <w:lang w:val="zh-CN"/>
        </w:rPr>
        <w:t>部门（单位）整体支出绩效自评表（见附件）</w:t>
      </w:r>
      <w:r>
        <w:rPr>
          <w:rFonts w:hint="eastAsia" w:ascii="宋体" w:hAnsi="宋体" w:cs="宋体"/>
          <w:color w:val="auto"/>
          <w:kern w:val="2"/>
          <w:sz w:val="24"/>
          <w:szCs w:val="24"/>
          <w:lang w:val="zh-CN"/>
        </w:rPr>
        <w:t>。</w:t>
      </w:r>
    </w:p>
    <w:p w14:paraId="5860160D">
      <w:pPr>
        <w:numPr>
          <w:ilvl w:val="0"/>
          <w:numId w:val="2"/>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部门绩效评价结果</w:t>
      </w:r>
    </w:p>
    <w:p w14:paraId="07B5BDDB">
      <w:pPr>
        <w:numPr>
          <w:ilvl w:val="0"/>
          <w:numId w:val="0"/>
        </w:numPr>
        <w:spacing w:before="100" w:beforeLines="0" w:after="100" w:afterLines="0"/>
        <w:jc w:val="left"/>
        <w:rPr>
          <w:rFonts w:hint="eastAsia" w:ascii="宋体" w:hAnsi="宋体" w:eastAsia="宋体" w:cs="宋体"/>
          <w:b w:val="0"/>
          <w:bCs w:val="0"/>
          <w:color w:val="auto"/>
          <w:sz w:val="24"/>
          <w:szCs w:val="24"/>
          <w:lang w:val="zh-CN" w:eastAsia="zh-CN"/>
        </w:rPr>
      </w:pPr>
      <w:r>
        <w:rPr>
          <w:rFonts w:hint="eastAsia" w:ascii="宋体" w:hAnsi="宋体" w:eastAsia="宋体" w:cs="宋体"/>
          <w:b w:val="0"/>
          <w:bCs w:val="0"/>
          <w:color w:val="auto"/>
          <w:sz w:val="24"/>
          <w:szCs w:val="24"/>
          <w:lang w:val="zh-CN" w:eastAsia="zh-CN"/>
        </w:rPr>
        <w:t>华池县律师事务所202</w:t>
      </w: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val="zh-CN" w:eastAsia="zh-CN"/>
        </w:rPr>
        <w:t>年度部门支出整体绩效评价结果为“优”。</w:t>
      </w:r>
    </w:p>
    <w:p w14:paraId="6AE6B4D9">
      <w:pPr>
        <w:numPr>
          <w:ilvl w:val="0"/>
          <w:numId w:val="0"/>
        </w:numPr>
        <w:spacing w:before="100" w:beforeLines="0" w:after="100" w:afterLines="0"/>
        <w:jc w:val="left"/>
        <w:rPr>
          <w:rFonts w:hint="eastAsia" w:ascii="宋体" w:hAnsi="宋体"/>
          <w:b/>
          <w:bCs/>
          <w:color w:val="auto"/>
          <w:sz w:val="24"/>
          <w:szCs w:val="24"/>
          <w:lang w:val="zh-CN" w:eastAsia="zh-CN"/>
        </w:rPr>
      </w:pPr>
    </w:p>
    <w:p w14:paraId="3491417B">
      <w:pPr>
        <w:numPr>
          <w:ilvl w:val="0"/>
          <w:numId w:val="0"/>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 xml:space="preserve"> </w:t>
      </w:r>
    </w:p>
    <w:p w14:paraId="40A83D30">
      <w:pPr>
        <w:numPr>
          <w:ilvl w:val="0"/>
          <w:numId w:val="3"/>
        </w:num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1459514B">
      <w:pPr>
        <w:numPr>
          <w:ilvl w:val="0"/>
          <w:numId w:val="0"/>
        </w:num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一、财政拨款收入：指本年度从本级财政部门取得的财政拨款,包括一般公共预算财政拨款和政府性基金预算财政拨款。</w:t>
      </w:r>
    </w:p>
    <w:p w14:paraId="3CE35162">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二、事业收入：指事业单位开展专业业务活动及其辅助活动取得的现金流入；事业单位收到的财政专户实际核拨的教育收费等资金在此反映。</w:t>
      </w:r>
    </w:p>
    <w:p w14:paraId="26706291">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三、经营收入：指事业单位在专业业务活动及其辅助活动之外开展非独立核算经营活动取得的现金流入。</w:t>
      </w:r>
    </w:p>
    <w:p w14:paraId="148062D4">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四、其他收入：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830A52A">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五、年初结转和结余：指单位上年结转本年使用的基本支出结转、项目支出结转和结余、经营结余。</w:t>
      </w:r>
    </w:p>
    <w:p w14:paraId="278D4717">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六、结余分配：指单位按照国家有关规定,缴纳所得税、提取专用基金、转入事业基金等当年结余的分配情况。</w:t>
      </w:r>
    </w:p>
    <w:p w14:paraId="21B3153A">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七、年末结转和结余：指单位结转下年的基本支出结转、项目支出结转和结余、经营结余。</w:t>
      </w:r>
    </w:p>
    <w:p w14:paraId="7D1DD82E">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八、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6B691799">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九、项目支出：指在基本支出之外为完成特定行政任务和事业发展目标所发生的支出。</w:t>
      </w:r>
    </w:p>
    <w:p w14:paraId="4BB65D58">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十、经营支出：指事业单位在专业业务活动及其辅助活动之外开展非独立核算经营活动发生的支出。</w:t>
      </w:r>
    </w:p>
    <w:p w14:paraId="2312D45C">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十一、“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BCD50C3">
      <w:pPr>
        <w:spacing w:before="100" w:beforeLines="0" w:after="100" w:afterLines="0"/>
        <w:jc w:val="left"/>
        <w:rPr>
          <w:rFonts w:hint="eastAsia" w:ascii="宋体" w:hAnsi="宋体"/>
          <w:b w:val="0"/>
          <w:bCs w:val="0"/>
          <w:color w:val="auto"/>
          <w:sz w:val="24"/>
          <w:szCs w:val="24"/>
          <w:lang w:val="zh-CN" w:eastAsia="zh-CN"/>
        </w:rPr>
      </w:pPr>
      <w:r>
        <w:rPr>
          <w:rFonts w:hint="eastAsia" w:ascii="宋体" w:hAnsi="宋体"/>
          <w:b w:val="0"/>
          <w:bCs w:val="0"/>
          <w:color w:val="auto"/>
          <w:sz w:val="24"/>
          <w:szCs w:val="24"/>
          <w:lang w:val="zh-CN" w:eastAsia="zh-CN"/>
        </w:rPr>
        <w:t>十二、机关运行经费：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0F835A1">
      <w:pPr>
        <w:spacing w:before="100" w:beforeLines="0" w:after="100" w:afterLines="0"/>
        <w:jc w:val="center"/>
        <w:rPr>
          <w:rFonts w:hint="eastAsia" w:ascii="宋体" w:hAnsi="宋体"/>
          <w:b/>
          <w:bCs/>
          <w:color w:val="auto"/>
          <w:sz w:val="24"/>
          <w:szCs w:val="24"/>
          <w:lang w:val="zh-CN" w:eastAsia="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9B31F"/>
    <w:multiLevelType w:val="singleLevel"/>
    <w:tmpl w:val="DB79B31F"/>
    <w:lvl w:ilvl="0" w:tentative="0">
      <w:start w:val="3"/>
      <w:numFmt w:val="chineseCounting"/>
      <w:suff w:val="nothing"/>
      <w:lvlText w:val="%1、"/>
      <w:lvlJc w:val="left"/>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1C6E832E"/>
    <w:multiLevelType w:val="singleLevel"/>
    <w:tmpl w:val="1C6E832E"/>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3YzhhOWI5MjNiNzUwMDUwMmI1ZDU2MDUyMmE5ZmMifQ=="/>
  </w:docVars>
  <w:rsids>
    <w:rsidRoot w:val="00000000"/>
    <w:rsid w:val="257858B7"/>
    <w:rsid w:val="26236C18"/>
    <w:rsid w:val="26626D82"/>
    <w:rsid w:val="42697AFB"/>
    <w:rsid w:val="440E76BA"/>
    <w:rsid w:val="4D55502A"/>
    <w:rsid w:val="52222217"/>
    <w:rsid w:val="58506442"/>
    <w:rsid w:val="5E0F60B1"/>
    <w:rsid w:val="60733469"/>
    <w:rsid w:val="64A93B1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cf032997-3d7d-439e-a2bb-600a1030bf26}">
  <ds:schemaRefs/>
</ds:datastoreItem>
</file>

<file path=customXml/itemProps2.xml><?xml version="1.0" encoding="utf-8"?>
<ds:datastoreItem xmlns:ds="http://schemas.openxmlformats.org/officeDocument/2006/customXml" ds:itemID="{80422cbf-1df3-4175-8ce2-bf600ca4e725}">
  <ds:schemaRefs/>
</ds:datastoreItem>
</file>

<file path=customXml/itemProps3.xml><?xml version="1.0" encoding="utf-8"?>
<ds:datastoreItem xmlns:ds="http://schemas.openxmlformats.org/officeDocument/2006/customXml" ds:itemID="{89c6fafe-2e41-42d6-b3e9-6f0eec8db335}">
  <ds:schemaRefs/>
</ds:datastoreItem>
</file>

<file path=customXml/itemProps4.xml><?xml version="1.0" encoding="utf-8"?>
<ds:datastoreItem xmlns:ds="http://schemas.openxmlformats.org/officeDocument/2006/customXml" ds:itemID="{d86403c1-6c63-4cee-96c8-e2acca005bd8}">
  <ds:schemaRefs/>
</ds:datastoreItem>
</file>

<file path=customXml/itemProps5.xml><?xml version="1.0" encoding="utf-8"?>
<ds:datastoreItem xmlns:ds="http://schemas.openxmlformats.org/officeDocument/2006/customXml" ds:itemID="{379e7bcd-dd5f-41f4-8843-6321bfa71443}">
  <ds:schemaRefs/>
</ds:datastoreItem>
</file>

<file path=customXml/itemProps6.xml><?xml version="1.0" encoding="utf-8"?>
<ds:datastoreItem xmlns:ds="http://schemas.openxmlformats.org/officeDocument/2006/customXml" ds:itemID="{0fef28bf-a8a1-496e-82d1-bc5712a8fb64}">
  <ds:schemaRefs/>
</ds:datastoreItem>
</file>

<file path=customXml/itemProps7.xml><?xml version="1.0" encoding="utf-8"?>
<ds:datastoreItem xmlns:ds="http://schemas.openxmlformats.org/officeDocument/2006/customXml" ds:itemID="{2a62bacc-b010-4294-85d0-b2ff13374392}">
  <ds:schemaRefs/>
</ds:datastoreItem>
</file>

<file path=customXml/itemProps8.xml><?xml version="1.0" encoding="utf-8"?>
<ds:datastoreItem xmlns:ds="http://schemas.openxmlformats.org/officeDocument/2006/customXml" ds:itemID="{57262e1e-41ce-4c60-9825-7ae0f7bf95a6}">
  <ds:schemaRefs/>
</ds:datastoreItem>
</file>

<file path=customXml/itemProps9.xml><?xml version="1.0" encoding="utf-8"?>
<ds:datastoreItem xmlns:ds="http://schemas.openxmlformats.org/officeDocument/2006/customXml" ds:itemID="{e81d3455-177c-4abe-8192-be1aaf9efbee}">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3221</Words>
  <Characters>3472</Characters>
  <Lines>0</Lines>
  <Paragraphs>0</Paragraphs>
  <TotalTime>5</TotalTime>
  <ScaleCrop>false</ScaleCrop>
  <LinksUpToDate>false</LinksUpToDate>
  <CharactersWithSpaces>3477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2024-09-14T08:30:00Z</cp:lastPrinted>
  <dcterms:modified xsi:type="dcterms:W3CDTF">2024-09-14T08:35:58Z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