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013EF">
      <w:pPr>
        <w:spacing w:before="100" w:beforeLines="0" w:after="100" w:afterLines="0"/>
        <w:ind w:firstLine="640" w:firstLineChars="200"/>
        <w:jc w:val="both"/>
        <w:rPr>
          <w:rFonts w:hint="eastAsia" w:ascii="方正小标宋简体" w:hAnsi="方正小标宋简体" w:eastAsia="方正小标宋简体" w:cs="方正小标宋简体"/>
          <w:sz w:val="32"/>
          <w:szCs w:val="32"/>
          <w:lang w:val="zh-CN"/>
        </w:rPr>
      </w:pPr>
      <w:r>
        <w:rPr>
          <w:rFonts w:hint="eastAsia" w:ascii="方正小标宋简体" w:hAnsi="方正小标宋简体" w:eastAsia="方正小标宋简体" w:cs="方正小标宋简体"/>
          <w:sz w:val="32"/>
          <w:szCs w:val="32"/>
          <w:lang w:val="zh-CN"/>
        </w:rPr>
        <w:t>2023年度华池县农村合作经济经营管理局部门决算</w:t>
      </w:r>
    </w:p>
    <w:p w14:paraId="69061CA3">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目录</w:t>
      </w:r>
    </w:p>
    <w:p w14:paraId="5E9122C5">
      <w:pPr>
        <w:spacing w:before="100" w:beforeLines="0" w:after="100" w:afterLines="0"/>
        <w:ind w:firstLine="482" w:firstLineChars="200"/>
        <w:jc w:val="left"/>
        <w:rPr>
          <w:rFonts w:hint="eastAsia" w:ascii="宋体" w:hAnsi="宋体"/>
          <w:sz w:val="24"/>
          <w:szCs w:val="24"/>
          <w:lang w:val="zh-CN"/>
        </w:rPr>
      </w:pPr>
      <w:r>
        <w:rPr>
          <w:rFonts w:hint="eastAsia" w:ascii="宋体" w:hAnsi="宋体"/>
          <w:b/>
          <w:sz w:val="24"/>
          <w:szCs w:val="24"/>
          <w:lang w:val="zh-CN"/>
        </w:rPr>
        <w:t>第一部分部门概况</w:t>
      </w:r>
    </w:p>
    <w:p w14:paraId="211AE6A5">
      <w:pPr>
        <w:numPr>
          <w:ilvl w:val="0"/>
          <w:numId w:val="1"/>
        </w:num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部门职责</w:t>
      </w:r>
    </w:p>
    <w:p w14:paraId="5F918B10">
      <w:pPr>
        <w:numPr>
          <w:ilvl w:val="0"/>
          <w:numId w:val="0"/>
        </w:num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二、机构设置</w:t>
      </w:r>
    </w:p>
    <w:p w14:paraId="622A0FA0">
      <w:pPr>
        <w:spacing w:before="100" w:beforeLines="0" w:after="100" w:afterLines="0"/>
        <w:ind w:firstLine="482" w:firstLineChars="200"/>
        <w:jc w:val="left"/>
        <w:rPr>
          <w:rFonts w:hint="eastAsia" w:ascii="宋体" w:hAnsi="宋体"/>
          <w:sz w:val="24"/>
          <w:szCs w:val="24"/>
          <w:lang w:val="zh-CN"/>
        </w:rPr>
      </w:pPr>
      <w:r>
        <w:rPr>
          <w:rFonts w:hint="eastAsia" w:ascii="宋体" w:hAnsi="宋体"/>
          <w:b/>
          <w:sz w:val="24"/>
          <w:szCs w:val="24"/>
          <w:lang w:val="zh-CN"/>
        </w:rPr>
        <w:t>第二部分2023年度部门决算表</w:t>
      </w:r>
    </w:p>
    <w:p w14:paraId="18FFDABC">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一、收入支出决算总表</w:t>
      </w:r>
    </w:p>
    <w:p w14:paraId="0C7E4FDD">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二、收入决算表</w:t>
      </w:r>
    </w:p>
    <w:p w14:paraId="0F954115">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三、支出决算表</w:t>
      </w:r>
    </w:p>
    <w:p w14:paraId="56F8B23D">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四、财政拨款收入支出决算总表</w:t>
      </w:r>
      <w:bookmarkStart w:id="6" w:name="_GoBack"/>
      <w:bookmarkEnd w:id="6"/>
    </w:p>
    <w:p w14:paraId="6E80F316">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五、一般公共预算财政拨款支出决算表</w:t>
      </w:r>
    </w:p>
    <w:p w14:paraId="11FF775E">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六、一般公共预算财政拨款基本支出决算明细表</w:t>
      </w:r>
    </w:p>
    <w:p w14:paraId="042DC70B">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七、政府性基金预算财政拨款收入支出决算表</w:t>
      </w:r>
    </w:p>
    <w:p w14:paraId="0E14B10A">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八、国有资本经营预算财政拨款支出决算表</w:t>
      </w:r>
    </w:p>
    <w:p w14:paraId="0DEC97B3">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经费支出决算表</w:t>
      </w:r>
    </w:p>
    <w:p w14:paraId="0AB81A07">
      <w:pPr>
        <w:spacing w:before="100" w:beforeLines="0" w:after="100" w:afterLines="0"/>
        <w:ind w:firstLine="482" w:firstLineChars="200"/>
        <w:jc w:val="left"/>
        <w:rPr>
          <w:rFonts w:hint="eastAsia" w:ascii="宋体" w:hAnsi="宋体"/>
          <w:sz w:val="24"/>
          <w:szCs w:val="24"/>
          <w:lang w:val="zh-CN"/>
        </w:rPr>
      </w:pPr>
      <w:r>
        <w:rPr>
          <w:rFonts w:hint="eastAsia" w:ascii="宋体" w:hAnsi="宋体"/>
          <w:b/>
          <w:sz w:val="24"/>
          <w:szCs w:val="24"/>
          <w:lang w:val="zh-CN"/>
        </w:rPr>
        <w:t>第三部分2023年度部门决算情况说明</w:t>
      </w:r>
    </w:p>
    <w:p w14:paraId="0C7C9BFF">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一、收入支出决算总体情况说明</w:t>
      </w:r>
    </w:p>
    <w:p w14:paraId="58B9173C">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二、收入决算情况说明</w:t>
      </w:r>
    </w:p>
    <w:p w14:paraId="0226F988">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三、支出决算情况说明</w:t>
      </w:r>
    </w:p>
    <w:p w14:paraId="1F0D8122">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四、财政拨款收入支出决算总体情况说明</w:t>
      </w:r>
    </w:p>
    <w:p w14:paraId="45CC4795">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五、一般公共预算财政拨款支出决算情况说明</w:t>
      </w:r>
    </w:p>
    <w:p w14:paraId="47D34662">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六、一般公共预算财政拨款基本支出决算情况说明</w:t>
      </w:r>
    </w:p>
    <w:p w14:paraId="5D514718">
      <w:pPr>
        <w:spacing w:before="100" w:beforeLines="0" w:after="100" w:afterLines="0"/>
        <w:ind w:firstLine="480" w:firstLineChars="200"/>
        <w:jc w:val="left"/>
        <w:rPr>
          <w:rFonts w:hint="default" w:ascii="宋体" w:hAnsi="宋体" w:eastAsia="宋体"/>
          <w:sz w:val="24"/>
          <w:szCs w:val="24"/>
          <w:lang w:val="en-US" w:eastAsia="zh-CN"/>
        </w:rPr>
      </w:pPr>
      <w:r>
        <w:rPr>
          <w:rFonts w:hint="eastAsia" w:ascii="宋体" w:hAnsi="宋体"/>
          <w:sz w:val="24"/>
          <w:szCs w:val="24"/>
          <w:lang w:val="zh-CN"/>
        </w:rPr>
        <w:t>七、政府性基金预算财政拨款收支决算情况说明</w:t>
      </w:r>
    </w:p>
    <w:p w14:paraId="75521906">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八、国有资本经营预算财政拨款支出情况说明</w:t>
      </w:r>
    </w:p>
    <w:p w14:paraId="6196795F">
      <w:pPr>
        <w:spacing w:before="100" w:beforeLines="0" w:after="100" w:afterLines="0"/>
        <w:ind w:firstLine="480" w:firstLineChars="200"/>
        <w:jc w:val="left"/>
        <w:rPr>
          <w:rFonts w:hint="eastAsia" w:ascii="宋体" w:hAnsi="宋体"/>
          <w:sz w:val="24"/>
          <w:szCs w:val="24"/>
          <w:lang w:val="en-US" w:eastAsia="zh-CN"/>
        </w:rPr>
      </w:pPr>
      <w:r>
        <w:rPr>
          <w:rFonts w:hint="eastAsia" w:ascii="宋体" w:hAnsi="宋体"/>
          <w:sz w:val="24"/>
          <w:szCs w:val="24"/>
          <w:lang w:val="zh-CN"/>
        </w:rPr>
        <w:t>九、财政拨款</w:t>
      </w:r>
      <w:r>
        <w:rPr>
          <w:rFonts w:hint="default" w:ascii="宋体" w:hAnsi="宋体"/>
          <w:sz w:val="24"/>
          <w:szCs w:val="24"/>
          <w:lang w:val="zh-CN"/>
        </w:rPr>
        <w:t>“</w:t>
      </w:r>
      <w:r>
        <w:rPr>
          <w:rFonts w:hint="eastAsia" w:ascii="宋体" w:hAnsi="宋体"/>
          <w:sz w:val="24"/>
          <w:szCs w:val="24"/>
          <w:lang w:val="zh-CN"/>
        </w:rPr>
        <w:t>三公</w:t>
      </w:r>
      <w:r>
        <w:rPr>
          <w:rFonts w:hint="default" w:ascii="宋体" w:hAnsi="宋体"/>
          <w:sz w:val="24"/>
          <w:szCs w:val="24"/>
          <w:lang w:val="zh-CN"/>
        </w:rPr>
        <w:t>”</w:t>
      </w:r>
      <w:r>
        <w:rPr>
          <w:rFonts w:hint="eastAsia" w:ascii="宋体" w:hAnsi="宋体"/>
          <w:sz w:val="24"/>
          <w:szCs w:val="24"/>
          <w:lang w:val="zh-CN"/>
        </w:rPr>
        <w:t>经费支出决算情况说明</w:t>
      </w:r>
    </w:p>
    <w:p w14:paraId="488380C1">
      <w:pPr>
        <w:spacing w:before="100" w:beforeLines="0" w:after="100" w:afterLines="0"/>
        <w:ind w:firstLine="480" w:firstLineChars="200"/>
        <w:jc w:val="left"/>
        <w:rPr>
          <w:rFonts w:hint="default" w:ascii="宋体" w:hAnsi="宋体" w:eastAsia="宋体"/>
          <w:sz w:val="24"/>
          <w:szCs w:val="24"/>
          <w:lang w:val="en-US" w:eastAsia="zh-CN"/>
        </w:rPr>
      </w:pPr>
      <w:r>
        <w:rPr>
          <w:rFonts w:hint="eastAsia" w:ascii="宋体" w:hAnsi="宋体"/>
          <w:sz w:val="24"/>
          <w:szCs w:val="24"/>
          <w:lang w:val="zh-CN"/>
        </w:rPr>
        <w:t>十、机关运行经费支出情况说明</w:t>
      </w:r>
    </w:p>
    <w:p w14:paraId="24327995">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十一、政府采购支出情况说明</w:t>
      </w:r>
    </w:p>
    <w:p w14:paraId="071C1ADB">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十二、国有资产占用情况说明</w:t>
      </w:r>
    </w:p>
    <w:p w14:paraId="755C3F23">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十三、其他需要说明的情况</w:t>
      </w:r>
    </w:p>
    <w:p w14:paraId="17F6DB70">
      <w:pPr>
        <w:spacing w:before="100" w:beforeLines="0" w:after="100" w:afterLines="0"/>
        <w:ind w:firstLine="482" w:firstLineChars="200"/>
        <w:jc w:val="left"/>
        <w:rPr>
          <w:rFonts w:hint="eastAsia" w:ascii="宋体" w:hAnsi="宋体"/>
          <w:sz w:val="24"/>
          <w:szCs w:val="24"/>
          <w:lang w:val="zh-CN"/>
        </w:rPr>
      </w:pPr>
      <w:r>
        <w:rPr>
          <w:rFonts w:hint="eastAsia" w:ascii="宋体" w:hAnsi="宋体"/>
          <w:b/>
          <w:sz w:val="24"/>
          <w:szCs w:val="24"/>
          <w:lang w:val="zh-CN"/>
        </w:rPr>
        <w:t>第四部分预算绩效情况说明</w:t>
      </w:r>
    </w:p>
    <w:p w14:paraId="526C7EEF">
      <w:pPr>
        <w:spacing w:before="100" w:beforeLines="0" w:after="100" w:afterLines="0"/>
        <w:ind w:firstLine="482" w:firstLineChars="200"/>
        <w:jc w:val="left"/>
        <w:rPr>
          <w:rFonts w:hint="eastAsia" w:ascii="宋体" w:hAnsi="宋体"/>
          <w:sz w:val="24"/>
          <w:szCs w:val="24"/>
          <w:lang w:val="zh-CN"/>
        </w:rPr>
      </w:pPr>
      <w:r>
        <w:rPr>
          <w:rFonts w:hint="eastAsia" w:ascii="宋体" w:hAnsi="宋体"/>
          <w:b/>
          <w:sz w:val="24"/>
          <w:szCs w:val="24"/>
          <w:lang w:val="zh-CN"/>
        </w:rPr>
        <w:t>第五部分名词解释</w:t>
      </w:r>
    </w:p>
    <w:p w14:paraId="6139B48D">
      <w:pPr>
        <w:spacing w:before="100" w:beforeLines="0" w:after="100" w:afterLines="0"/>
        <w:jc w:val="center"/>
        <w:rPr>
          <w:rFonts w:hint="eastAsia" w:ascii="宋体" w:hAnsi="宋体"/>
          <w:sz w:val="24"/>
          <w:szCs w:val="24"/>
          <w:lang w:val="zh-CN"/>
        </w:rPr>
      </w:pPr>
      <w:r>
        <w:rPr>
          <w:rFonts w:hint="eastAsia" w:ascii="宋体" w:hAnsi="宋体"/>
          <w:b/>
          <w:sz w:val="24"/>
          <w:szCs w:val="24"/>
          <w:lang w:val="zh-CN"/>
        </w:rPr>
        <w:t>第一部分部门概况</w:t>
      </w:r>
    </w:p>
    <w:p w14:paraId="1FC60CFB">
      <w:pPr>
        <w:spacing w:before="100" w:beforeLines="0" w:after="100" w:afterLines="0"/>
        <w:ind w:firstLine="480" w:firstLineChars="200"/>
        <w:jc w:val="left"/>
        <w:rPr>
          <w:rFonts w:hint="eastAsia" w:ascii="宋体" w:hAnsi="宋体"/>
          <w:sz w:val="24"/>
          <w:szCs w:val="24"/>
          <w:lang w:val="zh-CN"/>
        </w:rPr>
      </w:pPr>
      <w:r>
        <w:rPr>
          <w:rFonts w:hint="eastAsia" w:ascii="宋体" w:hAnsi="宋体"/>
          <w:sz w:val="24"/>
          <w:szCs w:val="24"/>
          <w:lang w:val="zh-CN"/>
        </w:rPr>
        <w:t>一、部门职责</w:t>
      </w:r>
    </w:p>
    <w:p w14:paraId="276ACE0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指导农村集体财务管理监督、农村土地承包管理、新型经营主体发展、村级财务审计、农村集体产权制度改革、村集体经济发展等工作。</w:t>
      </w:r>
    </w:p>
    <w:p w14:paraId="3185A829">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二、机构设置</w:t>
      </w:r>
    </w:p>
    <w:p w14:paraId="6D859FF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2023年，独立编制机构共1个，独立核算机构共1个。</w:t>
      </w:r>
      <w:r>
        <w:rPr>
          <w:rFonts w:hint="default" w:ascii="宋体" w:hAnsi="宋体"/>
          <w:color w:val="auto"/>
          <w:sz w:val="24"/>
          <w:szCs w:val="24"/>
          <w:lang w:val="zh-CN"/>
        </w:rPr>
        <w:t>结合本单位主要职责内设“一室四股”，即：办公室、农民专业合作组织管理股、农村集体“三资”管理股、农村土地承包管理股、农村宅基地管理股。</w:t>
      </w:r>
    </w:p>
    <w:p w14:paraId="5A20A1A4">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第二部分2023年度部门决算表</w:t>
      </w:r>
    </w:p>
    <w:p w14:paraId="5844C59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一、收入支出决算总表</w:t>
      </w:r>
      <w:bookmarkStart w:id="0" w:name="OLE_LINK1"/>
      <w:r>
        <w:rPr>
          <w:rFonts w:hint="eastAsia" w:ascii="宋体" w:hAnsi="宋体"/>
          <w:color w:val="auto"/>
          <w:sz w:val="24"/>
          <w:szCs w:val="24"/>
          <w:lang w:val="zh-CN"/>
        </w:rPr>
        <w:t>（</w:t>
      </w:r>
      <w:r>
        <w:rPr>
          <w:rFonts w:hint="eastAsia" w:ascii="宋体" w:hAnsi="宋体"/>
          <w:color w:val="auto"/>
          <w:sz w:val="24"/>
          <w:szCs w:val="24"/>
          <w:lang w:val="en-US" w:eastAsia="zh-CN"/>
        </w:rPr>
        <w:t>见附件</w:t>
      </w:r>
      <w:r>
        <w:rPr>
          <w:rFonts w:hint="eastAsia" w:ascii="宋体" w:hAnsi="宋体"/>
          <w:color w:val="auto"/>
          <w:sz w:val="24"/>
          <w:szCs w:val="24"/>
          <w:lang w:val="zh-CN"/>
        </w:rPr>
        <w:t>）</w:t>
      </w:r>
      <w:bookmarkEnd w:id="0"/>
    </w:p>
    <w:p w14:paraId="6130AE27">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二、收入决算表（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1FC830E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三、支出决算表（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6D4B78B6">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四、财政拨款收入支出决算总表（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2DCE67F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五、一般公共预算财政拨款支出决算表（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0D046D9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六、一般公共预算财政拨款基本支出决算明细表（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34B89E2A">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七、政府性基金预算财政拨款收入支出决算表（</w:t>
      </w:r>
      <w:r>
        <w:rPr>
          <w:rFonts w:hint="eastAsia" w:ascii="宋体" w:hAnsi="宋体"/>
          <w:color w:val="auto"/>
          <w:sz w:val="24"/>
          <w:szCs w:val="24"/>
          <w:lang w:val="en-US" w:eastAsia="zh-CN"/>
        </w:rPr>
        <w:t>见附件</w:t>
      </w:r>
      <w:r>
        <w:rPr>
          <w:rFonts w:hint="eastAsia" w:ascii="宋体" w:hAnsi="宋体"/>
          <w:color w:val="auto"/>
          <w:sz w:val="24"/>
          <w:szCs w:val="24"/>
          <w:lang w:val="zh-CN"/>
        </w:rPr>
        <w:t>）</w:t>
      </w:r>
    </w:p>
    <w:p w14:paraId="0829579D">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八、国有资本经营预算财政拨款支出决算表（</w:t>
      </w:r>
      <w:r>
        <w:rPr>
          <w:rFonts w:hint="eastAsia" w:ascii="宋体" w:hAnsi="宋体"/>
          <w:color w:val="auto"/>
          <w:sz w:val="24"/>
          <w:szCs w:val="24"/>
          <w:lang w:val="en-US" w:eastAsia="zh-CN"/>
        </w:rPr>
        <w:t>见附件，本部门没有相关数据,故本表无数据</w:t>
      </w:r>
      <w:r>
        <w:rPr>
          <w:rFonts w:hint="eastAsia" w:ascii="宋体" w:hAnsi="宋体"/>
          <w:color w:val="auto"/>
          <w:sz w:val="24"/>
          <w:szCs w:val="24"/>
          <w:lang w:val="zh-CN"/>
        </w:rPr>
        <w:t>）</w:t>
      </w:r>
    </w:p>
    <w:p w14:paraId="7683EA00">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九、财政拨款</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经费支出决算表（</w:t>
      </w:r>
      <w:bookmarkStart w:id="1" w:name="OLE_LINK2"/>
      <w:r>
        <w:rPr>
          <w:rFonts w:hint="eastAsia" w:ascii="宋体" w:hAnsi="宋体"/>
          <w:color w:val="auto"/>
          <w:sz w:val="24"/>
          <w:szCs w:val="24"/>
          <w:lang w:val="en-US" w:eastAsia="zh-CN"/>
        </w:rPr>
        <w:t>见附件，本部门没有相关数据,故本表无数据</w:t>
      </w:r>
      <w:bookmarkEnd w:id="1"/>
      <w:r>
        <w:rPr>
          <w:rFonts w:hint="eastAsia" w:ascii="宋体" w:hAnsi="宋体"/>
          <w:color w:val="auto"/>
          <w:sz w:val="24"/>
          <w:szCs w:val="24"/>
          <w:lang w:val="zh-CN"/>
        </w:rPr>
        <w:t>）</w:t>
      </w:r>
    </w:p>
    <w:p w14:paraId="3D863E88">
      <w:pPr>
        <w:spacing w:before="100" w:beforeLines="0" w:after="100" w:afterLines="0"/>
        <w:jc w:val="center"/>
        <w:rPr>
          <w:rFonts w:hint="eastAsia" w:ascii="宋体" w:hAnsi="宋体"/>
          <w:color w:val="auto"/>
          <w:sz w:val="24"/>
          <w:szCs w:val="24"/>
          <w:lang w:val="zh-CN"/>
        </w:rPr>
      </w:pPr>
      <w:r>
        <w:rPr>
          <w:rFonts w:hint="eastAsia" w:ascii="宋体" w:hAnsi="宋体"/>
          <w:b/>
          <w:color w:val="auto"/>
          <w:sz w:val="24"/>
          <w:szCs w:val="24"/>
          <w:lang w:val="zh-CN"/>
        </w:rPr>
        <w:t>第三部分2023年度部门决算情况说明</w:t>
      </w:r>
    </w:p>
    <w:p w14:paraId="69CD7917">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一、收入支出决算总体情况说明</w:t>
      </w:r>
    </w:p>
    <w:p w14:paraId="5222130E">
      <w:pPr>
        <w:spacing w:before="100" w:beforeLines="0" w:after="100" w:afterLines="0"/>
        <w:ind w:firstLine="480" w:firstLineChars="200"/>
        <w:jc w:val="left"/>
        <w:rPr>
          <w:rFonts w:hint="eastAsia" w:ascii="宋体" w:hAnsi="宋体"/>
          <w:b w:val="0"/>
          <w:bCs w:val="0"/>
          <w:color w:val="FF0000"/>
          <w:sz w:val="24"/>
          <w:szCs w:val="24"/>
          <w:lang w:val="zh-CN"/>
        </w:rPr>
      </w:pPr>
      <w:r>
        <w:rPr>
          <w:rFonts w:hint="eastAsia" w:ascii="宋体" w:hAnsi="宋体"/>
          <w:color w:val="auto"/>
          <w:sz w:val="24"/>
          <w:szCs w:val="24"/>
          <w:lang w:val="zh-CN"/>
        </w:rPr>
        <w:t>2023</w:t>
      </w:r>
      <w:r>
        <w:rPr>
          <w:rFonts w:hint="eastAsia" w:ascii="宋体" w:hAnsi="宋体"/>
          <w:b w:val="0"/>
          <w:bCs w:val="0"/>
          <w:color w:val="auto"/>
          <w:sz w:val="24"/>
          <w:szCs w:val="24"/>
          <w:lang w:val="zh-CN"/>
        </w:rPr>
        <w:t>年度收、支总计</w:t>
      </w:r>
      <w:r>
        <w:rPr>
          <w:rFonts w:hint="eastAsia" w:ascii="宋体" w:hAnsi="宋体"/>
          <w:b w:val="0"/>
          <w:bCs w:val="0"/>
          <w:color w:val="auto"/>
          <w:sz w:val="24"/>
          <w:szCs w:val="24"/>
          <w:lang w:val="en-US"/>
        </w:rPr>
        <w:t>均为</w:t>
      </w:r>
      <w:r>
        <w:rPr>
          <w:rFonts w:hint="eastAsia" w:ascii="宋体" w:hAnsi="宋体"/>
          <w:b w:val="0"/>
          <w:bCs w:val="0"/>
          <w:color w:val="auto"/>
          <w:sz w:val="24"/>
          <w:szCs w:val="24"/>
          <w:lang w:val="zh-CN"/>
        </w:rPr>
        <w:t>519.53万元。</w:t>
      </w:r>
      <w:r>
        <w:rPr>
          <w:rFonts w:hint="eastAsia" w:ascii="宋体" w:hAnsi="宋体"/>
          <w:b w:val="0"/>
          <w:bCs w:val="0"/>
          <w:color w:val="auto"/>
          <w:sz w:val="24"/>
          <w:szCs w:val="24"/>
          <w:lang w:val="en-US"/>
        </w:rPr>
        <w:t>与上年度相比,</w:t>
      </w:r>
      <w:r>
        <w:rPr>
          <w:rFonts w:hint="eastAsia" w:ascii="宋体" w:hAnsi="宋体"/>
          <w:b w:val="0"/>
          <w:bCs w:val="0"/>
          <w:color w:val="auto"/>
          <w:sz w:val="24"/>
          <w:szCs w:val="24"/>
          <w:lang w:val="zh-CN"/>
        </w:rPr>
        <w:t>收、支</w:t>
      </w:r>
      <w:r>
        <w:rPr>
          <w:rFonts w:hint="eastAsia" w:ascii="宋体" w:hAnsi="宋体"/>
          <w:b w:val="0"/>
          <w:bCs w:val="0"/>
          <w:color w:val="auto"/>
          <w:sz w:val="24"/>
          <w:szCs w:val="24"/>
          <w:lang w:val="en-US"/>
        </w:rPr>
        <w:t>总计各</w:t>
      </w:r>
      <w:r>
        <w:rPr>
          <w:rFonts w:hint="eastAsia" w:ascii="宋体" w:hAnsi="宋体"/>
          <w:b w:val="0"/>
          <w:bCs w:val="0"/>
          <w:color w:val="auto"/>
          <w:sz w:val="24"/>
          <w:szCs w:val="24"/>
          <w:lang w:val="zh-CN"/>
        </w:rPr>
        <w:t>增加216.38万元,增长71.38%</w:t>
      </w:r>
      <w:r>
        <w:rPr>
          <w:rFonts w:hint="eastAsia" w:ascii="宋体" w:hAnsi="宋体"/>
          <w:b w:val="0"/>
          <w:bCs w:val="0"/>
          <w:color w:val="auto"/>
          <w:sz w:val="24"/>
          <w:szCs w:val="24"/>
          <w:lang w:val="zh-CN" w:eastAsia="zh-CN"/>
        </w:rPr>
        <w:t>,</w:t>
      </w:r>
      <w:bookmarkStart w:id="2" w:name="OLE_LINK3"/>
      <w:r>
        <w:rPr>
          <w:rFonts w:hint="eastAsia" w:ascii="宋体" w:hAnsi="宋体"/>
          <w:b w:val="0"/>
          <w:bCs w:val="0"/>
          <w:color w:val="auto"/>
          <w:sz w:val="24"/>
          <w:szCs w:val="24"/>
          <w:lang w:val="zh-CN" w:eastAsia="zh-CN"/>
        </w:rPr>
        <w:t>主要原因是</w:t>
      </w:r>
      <w:r>
        <w:rPr>
          <w:rFonts w:hint="eastAsia" w:ascii="宋体" w:hAnsi="宋体"/>
          <w:b w:val="0"/>
          <w:bCs w:val="0"/>
          <w:color w:val="auto"/>
          <w:sz w:val="24"/>
          <w:szCs w:val="24"/>
          <w:lang w:val="en-US" w:eastAsia="zh-CN"/>
        </w:rPr>
        <w:t>项目增加，收支增加</w:t>
      </w:r>
      <w:r>
        <w:rPr>
          <w:rFonts w:hint="eastAsia" w:ascii="宋体" w:hAnsi="宋体"/>
          <w:b w:val="0"/>
          <w:bCs w:val="0"/>
          <w:color w:val="auto"/>
          <w:sz w:val="24"/>
          <w:szCs w:val="24"/>
          <w:lang w:val="zh-CN" w:eastAsia="zh-CN"/>
        </w:rPr>
        <w:t>。</w:t>
      </w:r>
      <w:bookmarkEnd w:id="2"/>
    </w:p>
    <w:p w14:paraId="78B3D342">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二、收入决算情况说明</w:t>
      </w:r>
    </w:p>
    <w:p w14:paraId="042C4E9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2023年度收入合计519.53万元,其中：财政拨款收入519.53万元,占100.00%。</w:t>
      </w:r>
    </w:p>
    <w:p w14:paraId="081CA5ED">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三、支出决算情况说明</w:t>
      </w:r>
    </w:p>
    <w:p w14:paraId="7ED8077A">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2023年度支出合计519.53万元,其中：基本支出224.43万元,占43.20%；项目支出295.11万元,占56.80%。</w:t>
      </w:r>
    </w:p>
    <w:p w14:paraId="0E3764AB">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四、财政拨款收入支出决算总体情况说明</w:t>
      </w:r>
    </w:p>
    <w:p w14:paraId="754B4B2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2023年度财政拨款收、支总计</w:t>
      </w:r>
      <w:r>
        <w:rPr>
          <w:rFonts w:hint="eastAsia" w:ascii="宋体" w:hAnsi="宋体"/>
          <w:color w:val="auto"/>
          <w:sz w:val="24"/>
          <w:szCs w:val="24"/>
          <w:lang w:val="en-US"/>
        </w:rPr>
        <w:t>均为</w:t>
      </w:r>
      <w:r>
        <w:rPr>
          <w:rFonts w:hint="eastAsia" w:ascii="宋体" w:hAnsi="宋体"/>
          <w:color w:val="auto"/>
          <w:sz w:val="24"/>
          <w:szCs w:val="24"/>
          <w:lang w:val="zh-CN"/>
        </w:rPr>
        <w:t>519.53万元。与</w:t>
      </w:r>
      <w:r>
        <w:rPr>
          <w:rFonts w:hint="eastAsia" w:ascii="宋体" w:hAnsi="宋体"/>
          <w:color w:val="auto"/>
          <w:sz w:val="24"/>
          <w:szCs w:val="24"/>
          <w:lang w:val="en-US"/>
        </w:rPr>
        <w:t>上</w:t>
      </w:r>
      <w:r>
        <w:rPr>
          <w:rFonts w:hint="eastAsia" w:ascii="宋体" w:hAnsi="宋体"/>
          <w:color w:val="auto"/>
          <w:sz w:val="24"/>
          <w:szCs w:val="24"/>
          <w:lang w:val="zh-CN"/>
        </w:rPr>
        <w:t>年相比,各增加216.38万元,增长71.38%。</w:t>
      </w:r>
      <w:r>
        <w:rPr>
          <w:rFonts w:hint="eastAsia" w:ascii="宋体" w:hAnsi="宋体"/>
          <w:b w:val="0"/>
          <w:bCs w:val="0"/>
          <w:color w:val="auto"/>
          <w:sz w:val="24"/>
          <w:szCs w:val="24"/>
          <w:lang w:val="zh-CN" w:eastAsia="zh-CN"/>
        </w:rPr>
        <w:t>主要原因是</w:t>
      </w:r>
      <w:r>
        <w:rPr>
          <w:rFonts w:hint="eastAsia" w:ascii="宋体" w:hAnsi="宋体"/>
          <w:b w:val="0"/>
          <w:bCs w:val="0"/>
          <w:color w:val="auto"/>
          <w:sz w:val="24"/>
          <w:szCs w:val="24"/>
          <w:lang w:val="en-US" w:eastAsia="zh-CN"/>
        </w:rPr>
        <w:t>项目增加，收支增加</w:t>
      </w:r>
      <w:r>
        <w:rPr>
          <w:rFonts w:hint="eastAsia" w:ascii="宋体" w:hAnsi="宋体"/>
          <w:b w:val="0"/>
          <w:bCs w:val="0"/>
          <w:color w:val="auto"/>
          <w:sz w:val="24"/>
          <w:szCs w:val="24"/>
          <w:lang w:val="zh-CN" w:eastAsia="zh-CN"/>
        </w:rPr>
        <w:t>。</w:t>
      </w:r>
    </w:p>
    <w:p w14:paraId="31F9C4BF">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五、一般公共预算财政拨款支出决算情况说明</w:t>
      </w:r>
    </w:p>
    <w:p w14:paraId="16A85823">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（一）一般公共预算财政拨款支出决算总体情况</w:t>
      </w:r>
    </w:p>
    <w:p w14:paraId="380BA03F">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2023年度一般公共预算财政拨款支出519.53万元,较上年决算数增加236.44万元,增长83.52%。</w:t>
      </w:r>
      <w:r>
        <w:rPr>
          <w:rFonts w:hint="eastAsia" w:ascii="宋体" w:hAnsi="宋体"/>
          <w:b w:val="0"/>
          <w:bCs w:val="0"/>
          <w:color w:val="auto"/>
          <w:sz w:val="24"/>
          <w:szCs w:val="24"/>
          <w:lang w:val="zh-CN" w:eastAsia="zh-CN"/>
        </w:rPr>
        <w:t>主要原因是</w:t>
      </w:r>
      <w:r>
        <w:rPr>
          <w:rFonts w:hint="eastAsia" w:ascii="宋体" w:hAnsi="宋体"/>
          <w:b w:val="0"/>
          <w:bCs w:val="0"/>
          <w:color w:val="auto"/>
          <w:sz w:val="24"/>
          <w:szCs w:val="24"/>
          <w:lang w:val="en-US" w:eastAsia="zh-CN"/>
        </w:rPr>
        <w:t>项目增加，收支增加</w:t>
      </w:r>
      <w:r>
        <w:rPr>
          <w:rFonts w:hint="eastAsia" w:ascii="宋体" w:hAnsi="宋体"/>
          <w:b w:val="0"/>
          <w:bCs w:val="0"/>
          <w:color w:val="auto"/>
          <w:sz w:val="24"/>
          <w:szCs w:val="24"/>
          <w:lang w:val="zh-CN" w:eastAsia="zh-CN"/>
        </w:rPr>
        <w:t>。</w:t>
      </w:r>
    </w:p>
    <w:p w14:paraId="60D6EDFE">
      <w:pPr>
        <w:numPr>
          <w:ilvl w:val="0"/>
          <w:numId w:val="0"/>
        </w:numPr>
        <w:spacing w:before="100" w:beforeLines="0" w:after="100" w:afterLine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 xml:space="preserve">    （二）</w:t>
      </w:r>
      <w:r>
        <w:rPr>
          <w:rFonts w:hint="eastAsia" w:ascii="宋体" w:hAnsi="宋体"/>
          <w:color w:val="000000" w:themeColor="text1"/>
          <w:sz w:val="24"/>
          <w:szCs w:val="24"/>
          <w:lang w:val="zh-CN"/>
          <w14:textFill>
            <w14:solidFill>
              <w14:schemeClr w14:val="tx1"/>
            </w14:solidFill>
          </w14:textFill>
        </w:rPr>
        <w:t>一般公共预算财政拨款支出决算结构情况</w:t>
      </w:r>
    </w:p>
    <w:p w14:paraId="1126F822">
      <w:pPr>
        <w:numPr>
          <w:ilvl w:val="0"/>
          <w:numId w:val="0"/>
        </w:numPr>
        <w:spacing w:before="100" w:beforeLines="0" w:after="100" w:afterLines="0"/>
        <w:jc w:val="left"/>
        <w:rPr>
          <w:rFonts w:hint="eastAsia" w:ascii="宋体" w:hAnsi="宋体"/>
          <w:color w:val="FF0000"/>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w:t>
      </w:r>
      <w:r>
        <w:rPr>
          <w:rFonts w:hint="eastAsia" w:ascii="宋体" w:hAnsi="宋体"/>
          <w:color w:val="auto"/>
          <w:sz w:val="24"/>
          <w:szCs w:val="24"/>
          <w:lang w:val="zh-CN"/>
        </w:rPr>
        <w:t>519.53万元，主要用于以下方面：一般公共服务支出7.57万元,占1.46%；社会保障和就业支出15.59万元,占3.0%；卫生健康支出15.61万元,占3.0%；农林水支出480.76万元,占92.54%。</w:t>
      </w:r>
    </w:p>
    <w:p w14:paraId="6E1C3B9A">
      <w:pPr>
        <w:numPr>
          <w:ilvl w:val="0"/>
          <w:numId w:val="0"/>
        </w:numPr>
        <w:spacing w:before="100" w:beforeLines="0" w:after="100" w:afterLines="0"/>
        <w:ind w:leftChars="0"/>
        <w:jc w:val="left"/>
        <w:rPr>
          <w:rFonts w:hint="eastAsia" w:ascii="宋体" w:hAnsi="宋体"/>
          <w:color w:val="000000" w:themeColor="text1"/>
          <w:sz w:val="24"/>
          <w:szCs w:val="24"/>
          <w:lang w:val="zh-CN"/>
          <w14:textFill>
            <w14:solidFill>
              <w14:schemeClr w14:val="tx1"/>
            </w14:solidFill>
          </w14:textFill>
        </w:rPr>
      </w:pPr>
      <w:r>
        <w:rPr>
          <w:rFonts w:hint="eastAsia" w:ascii="宋体" w:hAnsi="宋体"/>
          <w:color w:val="000000" w:themeColor="text1"/>
          <w:sz w:val="24"/>
          <w:szCs w:val="24"/>
          <w:lang w:val="en-US" w:eastAsia="zh-CN"/>
          <w14:textFill>
            <w14:solidFill>
              <w14:schemeClr w14:val="tx1"/>
            </w14:solidFill>
          </w14:textFill>
        </w:rPr>
        <w:t xml:space="preserve">    （三）</w:t>
      </w:r>
      <w:r>
        <w:rPr>
          <w:rFonts w:hint="eastAsia" w:ascii="宋体" w:hAnsi="宋体"/>
          <w:color w:val="000000" w:themeColor="text1"/>
          <w:sz w:val="24"/>
          <w:szCs w:val="24"/>
          <w:lang w:val="zh-CN"/>
          <w14:textFill>
            <w14:solidFill>
              <w14:schemeClr w14:val="tx1"/>
            </w14:solidFill>
          </w14:textFill>
        </w:rPr>
        <w:t>一般公共预算财政拨款支出决算具体情况。</w:t>
      </w:r>
    </w:p>
    <w:p w14:paraId="4F135737">
      <w:pPr>
        <w:numPr>
          <w:ilvl w:val="0"/>
          <w:numId w:val="0"/>
        </w:numPr>
        <w:spacing w:before="100" w:beforeLines="0" w:after="100" w:afterLines="0"/>
        <w:ind w:leftChars="0"/>
        <w:jc w:val="left"/>
        <w:rPr>
          <w:rFonts w:hint="eastAsia" w:ascii="宋体" w:hAnsi="宋体"/>
          <w:color w:val="auto"/>
          <w:sz w:val="24"/>
          <w:szCs w:val="24"/>
          <w:lang w:val="zh-CN"/>
        </w:rPr>
      </w:pPr>
      <w:r>
        <w:rPr>
          <w:rFonts w:hint="eastAsia" w:ascii="宋体" w:hAnsi="宋体"/>
          <w:color w:val="000000" w:themeColor="text1"/>
          <w:sz w:val="24"/>
          <w:szCs w:val="24"/>
          <w:lang w:val="en-US" w:eastAsia="zh-CN"/>
          <w14:textFill>
            <w14:solidFill>
              <w14:schemeClr w14:val="tx1"/>
            </w14:solidFill>
          </w14:textFill>
        </w:rPr>
        <w:t>2023年度一般公共预算财政拨款支出年初预算为</w:t>
      </w:r>
      <w:r>
        <w:rPr>
          <w:rFonts w:hint="eastAsia" w:ascii="宋体" w:hAnsi="宋体"/>
          <w:color w:val="auto"/>
          <w:sz w:val="24"/>
          <w:szCs w:val="24"/>
          <w:lang w:val="zh-CN"/>
        </w:rPr>
        <w:t>226.27万元,支出决算为519.53万元,完成年初预算的229.61%。其中：</w:t>
      </w:r>
    </w:p>
    <w:p w14:paraId="3D2A9FF9">
      <w:pPr>
        <w:spacing w:before="100" w:beforeLines="0" w:after="100" w:afterLines="0"/>
        <w:ind w:firstLine="480" w:firstLineChars="200"/>
        <w:jc w:val="left"/>
        <w:rPr>
          <w:rFonts w:hint="default" w:ascii="宋体" w:hAnsi="宋体" w:eastAsia="宋体"/>
          <w:color w:val="auto"/>
          <w:sz w:val="24"/>
          <w:szCs w:val="24"/>
          <w:lang w:val="en-US" w:eastAsia="zh-CN"/>
        </w:rPr>
      </w:pPr>
      <w:r>
        <w:rPr>
          <w:rFonts w:hint="default" w:ascii="Times New Roman" w:hAnsi="Times New Roman" w:eastAsia="Times New Roman"/>
          <w:b/>
          <w:color w:val="auto"/>
          <w:sz w:val="24"/>
          <w:szCs w:val="24"/>
          <w:lang w:val="zh-CN"/>
        </w:rPr>
        <w:t>1</w:t>
      </w:r>
      <w:r>
        <w:rPr>
          <w:rFonts w:hint="eastAsia" w:ascii="宋体" w:hAnsi="宋体"/>
          <w:b/>
          <w:color w:val="auto"/>
          <w:sz w:val="24"/>
          <w:szCs w:val="24"/>
          <w:lang w:val="zh-CN"/>
        </w:rPr>
        <w:t>．一般公共服务支出</w:t>
      </w:r>
      <w:r>
        <w:rPr>
          <w:rFonts w:hint="eastAsia" w:ascii="宋体" w:hAnsi="宋体"/>
          <w:color w:val="auto"/>
          <w:sz w:val="24"/>
          <w:szCs w:val="24"/>
          <w:lang w:val="zh-CN"/>
        </w:rPr>
        <w:t>年初预算数为0.00万元,支出决算为7.57万元,完成年初预算的%,决算数大于预</w:t>
      </w:r>
      <w:r>
        <w:rPr>
          <w:rFonts w:hint="eastAsia" w:ascii="宋体" w:hAnsi="宋体"/>
          <w:b w:val="0"/>
          <w:bCs w:val="0"/>
          <w:color w:val="auto"/>
          <w:sz w:val="24"/>
          <w:szCs w:val="24"/>
          <w:lang w:val="zh-CN"/>
        </w:rPr>
        <w:t>算数的</w:t>
      </w:r>
      <w:r>
        <w:rPr>
          <w:rFonts w:hint="eastAsia" w:ascii="宋体" w:hAnsi="宋体"/>
          <w:b w:val="0"/>
          <w:bCs w:val="0"/>
          <w:color w:val="auto"/>
          <w:sz w:val="24"/>
          <w:szCs w:val="24"/>
          <w:lang w:val="en-US" w:eastAsia="zh-CN"/>
        </w:rPr>
        <w:t>省级专项增加，支出增加。</w:t>
      </w:r>
    </w:p>
    <w:p w14:paraId="603134BD">
      <w:pPr>
        <w:spacing w:before="100" w:beforeLines="0" w:after="100" w:afterLines="0"/>
        <w:ind w:firstLine="482" w:firstLineChars="200"/>
        <w:jc w:val="left"/>
        <w:rPr>
          <w:rFonts w:hint="default" w:ascii="宋体" w:hAnsi="宋体" w:eastAsia="宋体"/>
          <w:color w:val="FF0000"/>
          <w:sz w:val="24"/>
          <w:szCs w:val="24"/>
          <w:lang w:val="en-US" w:eastAsia="zh-CN"/>
        </w:rPr>
      </w:pPr>
      <w:r>
        <w:rPr>
          <w:rFonts w:hint="eastAsia" w:ascii="宋体" w:hAnsi="宋体"/>
          <w:b/>
          <w:color w:val="auto"/>
          <w:sz w:val="24"/>
          <w:szCs w:val="24"/>
          <w:lang w:val="en-US" w:eastAsia="zh-CN"/>
        </w:rPr>
        <w:t>2</w:t>
      </w:r>
      <w:r>
        <w:rPr>
          <w:rFonts w:hint="eastAsia" w:ascii="宋体" w:hAnsi="宋体"/>
          <w:b/>
          <w:color w:val="auto"/>
          <w:sz w:val="24"/>
          <w:szCs w:val="24"/>
          <w:lang w:val="zh-CN"/>
        </w:rPr>
        <w:t>．社会保障和就业支出</w:t>
      </w:r>
      <w:r>
        <w:rPr>
          <w:rFonts w:hint="eastAsia" w:ascii="宋体" w:hAnsi="宋体"/>
          <w:color w:val="auto"/>
          <w:sz w:val="24"/>
          <w:szCs w:val="24"/>
          <w:lang w:val="zh-CN"/>
        </w:rPr>
        <w:t>年初预算数为25.87万元,支出决算为15.59万元,完成年初预算的60.25%,决算数小于预算数的</w:t>
      </w:r>
      <w:r>
        <w:rPr>
          <w:rFonts w:hint="eastAsia" w:ascii="宋体" w:hAnsi="宋体"/>
          <w:color w:val="auto"/>
          <w:sz w:val="24"/>
          <w:szCs w:val="24"/>
          <w:lang w:val="en-US" w:eastAsia="zh-CN"/>
        </w:rPr>
        <w:t>主要原因在职人员减少，支出减少。</w:t>
      </w:r>
    </w:p>
    <w:p w14:paraId="680A810E">
      <w:pPr>
        <w:spacing w:before="100" w:beforeLines="0" w:after="100" w:afterLines="0"/>
        <w:ind w:firstLine="482" w:firstLineChars="200"/>
        <w:jc w:val="left"/>
        <w:rPr>
          <w:rFonts w:hint="default" w:ascii="宋体" w:hAnsi="宋体" w:eastAsia="宋体"/>
          <w:color w:val="FF0000"/>
          <w:sz w:val="24"/>
          <w:szCs w:val="24"/>
          <w:lang w:val="en-US" w:eastAsia="zh-CN"/>
        </w:rPr>
      </w:pPr>
      <w:r>
        <w:rPr>
          <w:rFonts w:hint="eastAsia" w:ascii="Times New Roman" w:hAnsi="Times New Roman" w:eastAsia="宋体"/>
          <w:b/>
          <w:color w:val="auto"/>
          <w:sz w:val="24"/>
          <w:szCs w:val="24"/>
          <w:lang w:val="en-US" w:eastAsia="zh-CN"/>
        </w:rPr>
        <w:t>3</w:t>
      </w:r>
      <w:r>
        <w:rPr>
          <w:rFonts w:hint="eastAsia" w:ascii="宋体" w:hAnsi="宋体"/>
          <w:b/>
          <w:color w:val="auto"/>
          <w:sz w:val="24"/>
          <w:szCs w:val="24"/>
          <w:lang w:val="zh-CN"/>
        </w:rPr>
        <w:t>．卫生健康支出</w:t>
      </w:r>
      <w:r>
        <w:rPr>
          <w:rFonts w:hint="eastAsia" w:ascii="宋体" w:hAnsi="宋体"/>
          <w:color w:val="auto"/>
          <w:sz w:val="24"/>
          <w:szCs w:val="24"/>
          <w:lang w:val="zh-CN"/>
        </w:rPr>
        <w:t>年初预算数为10.65万元,支出决算为15.61万元,完成年初预算的146.55%,决算数大于预算数</w:t>
      </w:r>
      <w:r>
        <w:rPr>
          <w:rFonts w:hint="eastAsia" w:ascii="宋体" w:hAnsi="宋体"/>
          <w:color w:val="auto"/>
          <w:sz w:val="24"/>
          <w:szCs w:val="24"/>
          <w:lang w:val="en-US" w:eastAsia="zh-CN"/>
        </w:rPr>
        <w:t>支付的主要原因支付结余资金增加。</w:t>
      </w:r>
    </w:p>
    <w:p w14:paraId="07743F3B">
      <w:pPr>
        <w:spacing w:before="100" w:beforeLines="0" w:after="100" w:afterLines="0"/>
        <w:ind w:firstLine="482" w:firstLineChars="200"/>
        <w:jc w:val="left"/>
        <w:rPr>
          <w:rFonts w:hint="eastAsia" w:ascii="宋体" w:hAnsi="宋体"/>
          <w:color w:val="auto"/>
          <w:sz w:val="24"/>
          <w:szCs w:val="24"/>
          <w:lang w:val="zh-CN"/>
        </w:rPr>
      </w:pPr>
      <w:r>
        <w:rPr>
          <w:rFonts w:hint="eastAsia" w:ascii="Times New Roman" w:hAnsi="Times New Roman" w:eastAsia="宋体"/>
          <w:b/>
          <w:color w:val="auto"/>
          <w:sz w:val="24"/>
          <w:szCs w:val="24"/>
          <w:lang w:val="en-US" w:eastAsia="zh-CN"/>
        </w:rPr>
        <w:t>4</w:t>
      </w:r>
      <w:r>
        <w:rPr>
          <w:rFonts w:hint="eastAsia" w:ascii="宋体" w:hAnsi="宋体"/>
          <w:b/>
          <w:color w:val="auto"/>
          <w:sz w:val="24"/>
          <w:szCs w:val="24"/>
          <w:lang w:val="zh-CN"/>
        </w:rPr>
        <w:t>．农林水支出</w:t>
      </w:r>
      <w:r>
        <w:rPr>
          <w:rFonts w:hint="eastAsia" w:ascii="宋体" w:hAnsi="宋体"/>
          <w:color w:val="auto"/>
          <w:sz w:val="24"/>
          <w:szCs w:val="24"/>
          <w:lang w:val="zh-CN"/>
        </w:rPr>
        <w:t>年初预算数为189.74万元,支出决算为480.76万元,完成年初预算的253.37%,决算数大于预算数的</w:t>
      </w:r>
      <w:r>
        <w:rPr>
          <w:rFonts w:hint="eastAsia" w:ascii="宋体" w:hAnsi="宋体"/>
          <w:color w:val="auto"/>
          <w:sz w:val="24"/>
          <w:szCs w:val="24"/>
          <w:lang w:val="en-US" w:eastAsia="zh-CN"/>
        </w:rPr>
        <w:t>省级项目增加，支出增加</w:t>
      </w:r>
      <w:r>
        <w:rPr>
          <w:rFonts w:hint="eastAsia" w:ascii="宋体" w:hAnsi="宋体"/>
          <w:color w:val="auto"/>
          <w:sz w:val="24"/>
          <w:szCs w:val="24"/>
          <w:lang w:val="zh-CN"/>
        </w:rPr>
        <w:t>。</w:t>
      </w:r>
    </w:p>
    <w:p w14:paraId="5229C622">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六、一般公共预算财政拨款基本支出决算情况说明</w:t>
      </w:r>
    </w:p>
    <w:p w14:paraId="39296473">
      <w:pPr>
        <w:spacing w:before="100" w:beforeLines="0" w:after="100" w:afterLines="0"/>
        <w:ind w:firstLine="480" w:firstLineChars="200"/>
        <w:jc w:val="left"/>
        <w:rPr>
          <w:rFonts w:hint="eastAsia" w:ascii="宋体" w:hAnsi="宋体"/>
          <w:b w:val="0"/>
          <w:bCs/>
          <w:color w:val="auto"/>
          <w:sz w:val="24"/>
          <w:szCs w:val="24"/>
          <w:lang w:val="zh-CN"/>
        </w:rPr>
      </w:pPr>
      <w:r>
        <w:rPr>
          <w:rFonts w:hint="eastAsia" w:ascii="宋体" w:hAnsi="宋体"/>
          <w:color w:val="auto"/>
          <w:sz w:val="24"/>
          <w:szCs w:val="24"/>
          <w:lang w:val="zh-CN"/>
        </w:rPr>
        <w:t>2023年度一般公共预算财政拨款基本支出224.43万元。其中：</w:t>
      </w:r>
      <w:r>
        <w:rPr>
          <w:rFonts w:hint="eastAsia" w:ascii="宋体" w:hAnsi="宋体"/>
          <w:b w:val="0"/>
          <w:bCs/>
          <w:color w:val="auto"/>
          <w:sz w:val="24"/>
          <w:szCs w:val="24"/>
          <w:lang w:val="zh-CN"/>
        </w:rPr>
        <w:t>人员经费215.61万元,较上年决算数增加9.13万元,增长4.42%,主要原因是</w:t>
      </w:r>
      <w:r>
        <w:rPr>
          <w:rFonts w:hint="eastAsia" w:ascii="宋体" w:hAnsi="宋体"/>
          <w:b w:val="0"/>
          <w:bCs/>
          <w:color w:val="auto"/>
          <w:sz w:val="24"/>
          <w:szCs w:val="24"/>
          <w:lang w:val="en-US" w:eastAsia="zh-CN"/>
        </w:rPr>
        <w:t>保险增加</w:t>
      </w:r>
      <w:r>
        <w:rPr>
          <w:rFonts w:hint="eastAsia" w:ascii="宋体" w:hAnsi="宋体"/>
          <w:b w:val="0"/>
          <w:bCs/>
          <w:color w:val="auto"/>
          <w:sz w:val="24"/>
          <w:szCs w:val="24"/>
          <w:lang w:val="zh-CN"/>
        </w:rPr>
        <w:t>。人员经费用途主要包括基本工资、津贴补贴、奖金、社会保障缴费。</w:t>
      </w:r>
      <w:r>
        <w:rPr>
          <w:rFonts w:hint="eastAsia" w:ascii="宋体" w:hAnsi="宋体"/>
          <w:b/>
          <w:color w:val="auto"/>
          <w:sz w:val="24"/>
          <w:szCs w:val="24"/>
          <w:lang w:val="zh-CN"/>
        </w:rPr>
        <w:t>公用经费</w:t>
      </w:r>
      <w:r>
        <w:rPr>
          <w:rFonts w:hint="eastAsia" w:ascii="宋体" w:hAnsi="宋体"/>
          <w:color w:val="auto"/>
          <w:sz w:val="24"/>
          <w:szCs w:val="24"/>
          <w:lang w:val="zh-CN"/>
        </w:rPr>
        <w:t>8.82万元,较上年决算数减少25.79万元,下降74.53%,</w:t>
      </w:r>
      <w:r>
        <w:rPr>
          <w:rFonts w:hint="eastAsia" w:ascii="宋体" w:hAnsi="宋体"/>
          <w:b w:val="0"/>
          <w:bCs/>
          <w:color w:val="auto"/>
          <w:sz w:val="24"/>
          <w:szCs w:val="24"/>
          <w:lang w:val="zh-CN"/>
        </w:rPr>
        <w:t>主要原因</w:t>
      </w:r>
      <w:r>
        <w:rPr>
          <w:rFonts w:hint="eastAsia" w:ascii="宋体" w:hAnsi="宋体"/>
          <w:b w:val="0"/>
          <w:bCs/>
          <w:color w:val="auto"/>
          <w:sz w:val="24"/>
          <w:szCs w:val="24"/>
          <w:lang w:val="en-US" w:eastAsia="zh-CN"/>
        </w:rPr>
        <w:t>费用减少</w:t>
      </w:r>
      <w:r>
        <w:rPr>
          <w:rFonts w:hint="eastAsia" w:ascii="宋体" w:hAnsi="宋体"/>
          <w:color w:val="auto"/>
          <w:sz w:val="24"/>
          <w:szCs w:val="24"/>
          <w:lang w:val="zh-CN"/>
        </w:rPr>
        <w:t>。公用经费</w:t>
      </w:r>
      <w:r>
        <w:rPr>
          <w:rFonts w:hint="eastAsia" w:ascii="宋体" w:hAnsi="宋体"/>
          <w:b w:val="0"/>
          <w:bCs/>
          <w:color w:val="auto"/>
          <w:sz w:val="24"/>
          <w:szCs w:val="24"/>
          <w:lang w:val="zh-CN"/>
        </w:rPr>
        <w:t>用途主要包括办公费、印刷费、咨询费、手续费。</w:t>
      </w:r>
    </w:p>
    <w:p w14:paraId="08B773F4">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七、政府性基金预算财政拨款收支决算情况说明</w:t>
      </w:r>
    </w:p>
    <w:p w14:paraId="6E75461F">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本部门2023年度无政府性基金收入,也没有</w:t>
      </w:r>
      <w:r>
        <w:rPr>
          <w:rFonts w:hint="eastAsia" w:ascii="宋体" w:hAnsi="宋体"/>
          <w:b w:val="0"/>
          <w:bCs/>
          <w:color w:val="auto"/>
          <w:sz w:val="24"/>
          <w:szCs w:val="24"/>
          <w:lang w:val="zh-CN"/>
        </w:rPr>
        <w:t>使用</w:t>
      </w:r>
      <w:r>
        <w:rPr>
          <w:rFonts w:hint="eastAsia" w:ascii="宋体" w:hAnsi="宋体"/>
          <w:color w:val="auto"/>
          <w:sz w:val="24"/>
          <w:szCs w:val="24"/>
          <w:lang w:val="zh-CN"/>
        </w:rPr>
        <w:t>政府性基金安排的支出。</w:t>
      </w:r>
    </w:p>
    <w:p w14:paraId="648002B8">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八、国有资本经营预算财政拨款支出情况说明</w:t>
      </w:r>
    </w:p>
    <w:p w14:paraId="3DAF5D0D">
      <w:pPr>
        <w:spacing w:before="100" w:beforeLines="0" w:after="100" w:afterLines="0"/>
        <w:ind w:firstLine="480" w:firstLineChars="200"/>
        <w:jc w:val="left"/>
        <w:rPr>
          <w:rFonts w:hint="eastAsia" w:ascii="宋体" w:hAnsi="宋体"/>
          <w:color w:val="FF0000"/>
          <w:sz w:val="24"/>
          <w:szCs w:val="24"/>
          <w:lang w:val="zh-CN"/>
        </w:rPr>
      </w:pPr>
      <w:r>
        <w:rPr>
          <w:rFonts w:hint="eastAsia" w:ascii="宋体" w:hAnsi="宋体"/>
          <w:color w:val="auto"/>
          <w:sz w:val="24"/>
          <w:szCs w:val="24"/>
          <w:lang w:val="zh-CN"/>
        </w:rPr>
        <w:t>本部门2023年度没有使用国有资本经营预算安排的支出。</w:t>
      </w:r>
    </w:p>
    <w:p w14:paraId="3DB14E56">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九</w:t>
      </w:r>
      <w:r>
        <w:rPr>
          <w:rFonts w:hint="eastAsia" w:ascii="宋体" w:hAnsi="宋体"/>
          <w:b/>
          <w:bCs/>
          <w:color w:val="auto"/>
          <w:sz w:val="24"/>
          <w:szCs w:val="24"/>
          <w:lang w:val="zh-CN" w:eastAsia="zh-CN"/>
        </w:rPr>
        <w:t>、财政拨款</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三公</w:t>
      </w:r>
      <w:r>
        <w:rPr>
          <w:rFonts w:hint="default" w:ascii="宋体" w:hAnsi="宋体"/>
          <w:b/>
          <w:bCs/>
          <w:color w:val="auto"/>
          <w:sz w:val="24"/>
          <w:szCs w:val="24"/>
          <w:lang w:val="zh-CN" w:eastAsia="zh-CN"/>
        </w:rPr>
        <w:t>”</w:t>
      </w:r>
      <w:r>
        <w:rPr>
          <w:rFonts w:hint="eastAsia" w:ascii="宋体" w:hAnsi="宋体"/>
          <w:b/>
          <w:bCs/>
          <w:color w:val="auto"/>
          <w:sz w:val="24"/>
          <w:szCs w:val="24"/>
          <w:lang w:val="zh-CN" w:eastAsia="zh-CN"/>
        </w:rPr>
        <w:t>经费支出决算情况说明</w:t>
      </w:r>
    </w:p>
    <w:p w14:paraId="3B2B893C">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w:t>
      </w:r>
      <w:r>
        <w:rPr>
          <w:rFonts w:hint="eastAsia" w:ascii="宋体" w:hAnsi="宋体"/>
          <w:color w:val="auto"/>
          <w:sz w:val="24"/>
          <w:szCs w:val="24"/>
          <w:lang w:val="en-US" w:eastAsia="zh-CN"/>
        </w:rPr>
        <w:t>无</w:t>
      </w:r>
      <w:r>
        <w:rPr>
          <w:rFonts w:hint="default" w:ascii="宋体" w:hAnsi="宋体"/>
          <w:color w:val="auto"/>
          <w:sz w:val="24"/>
          <w:szCs w:val="24"/>
          <w:lang w:val="zh-CN"/>
        </w:rPr>
        <w:t>“</w:t>
      </w:r>
      <w:r>
        <w:rPr>
          <w:rFonts w:hint="eastAsia" w:ascii="宋体" w:hAnsi="宋体"/>
          <w:color w:val="auto"/>
          <w:sz w:val="24"/>
          <w:szCs w:val="24"/>
          <w:lang w:val="zh-CN"/>
        </w:rPr>
        <w:t>三公</w:t>
      </w:r>
      <w:r>
        <w:rPr>
          <w:rFonts w:hint="default" w:ascii="宋体" w:hAnsi="宋体"/>
          <w:color w:val="auto"/>
          <w:sz w:val="24"/>
          <w:szCs w:val="24"/>
          <w:lang w:val="zh-CN"/>
        </w:rPr>
        <w:t>”</w:t>
      </w:r>
      <w:r>
        <w:rPr>
          <w:rFonts w:hint="eastAsia" w:ascii="宋体" w:hAnsi="宋体"/>
          <w:color w:val="auto"/>
          <w:sz w:val="24"/>
          <w:szCs w:val="24"/>
          <w:lang w:val="zh-CN"/>
        </w:rPr>
        <w:t>经费。</w:t>
      </w:r>
    </w:p>
    <w:p w14:paraId="1EB6646F">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w:t>
      </w:r>
      <w:r>
        <w:rPr>
          <w:rFonts w:hint="eastAsia" w:ascii="宋体" w:hAnsi="宋体"/>
          <w:b/>
          <w:bCs/>
          <w:color w:val="auto"/>
          <w:sz w:val="24"/>
          <w:szCs w:val="24"/>
          <w:lang w:val="zh-CN" w:eastAsia="zh-CN"/>
        </w:rPr>
        <w:t>、机关运行经费支出情况说明</w:t>
      </w:r>
    </w:p>
    <w:p w14:paraId="7F57568D">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我单位2023年度无机关运行相关经费。</w:t>
      </w:r>
    </w:p>
    <w:p w14:paraId="2E315243">
      <w:pPr>
        <w:numPr>
          <w:ilvl w:val="0"/>
          <w:numId w:val="0"/>
        </w:num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十一、</w:t>
      </w:r>
      <w:r>
        <w:rPr>
          <w:rFonts w:hint="eastAsia" w:ascii="宋体" w:hAnsi="宋体"/>
          <w:b/>
          <w:bCs/>
          <w:color w:val="auto"/>
          <w:sz w:val="24"/>
          <w:szCs w:val="24"/>
          <w:lang w:val="zh-CN" w:eastAsia="zh-CN"/>
        </w:rPr>
        <w:t>政府采购支出情况说明</w:t>
      </w:r>
    </w:p>
    <w:p w14:paraId="4901004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我单位2023年度无政府采购相关经费。</w:t>
      </w:r>
    </w:p>
    <w:p w14:paraId="4BAEC711">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en-US" w:eastAsia="zh-CN"/>
        </w:rPr>
        <w:t>十二</w:t>
      </w:r>
      <w:r>
        <w:rPr>
          <w:rFonts w:hint="eastAsia" w:ascii="宋体" w:hAnsi="宋体"/>
          <w:b/>
          <w:bCs/>
          <w:color w:val="auto"/>
          <w:sz w:val="24"/>
          <w:szCs w:val="24"/>
          <w:lang w:val="zh-CN" w:eastAsia="zh-CN"/>
        </w:rPr>
        <w:t>、国有资产占用情况说明</w:t>
      </w:r>
    </w:p>
    <w:p w14:paraId="1D64CB65">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截至2023年12月31日,本部门共有车辆0辆,</w:t>
      </w:r>
    </w:p>
    <w:p w14:paraId="5136FB64">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十三、其他需要说明的情况</w:t>
      </w:r>
    </w:p>
    <w:p w14:paraId="1786FAE2">
      <w:pPr>
        <w:spacing w:before="100" w:beforeLines="0" w:after="100" w:afterLines="0"/>
        <w:ind w:firstLine="480" w:firstLineChars="200"/>
        <w:jc w:val="left"/>
        <w:rPr>
          <w:rFonts w:hint="eastAsia" w:ascii="宋体" w:hAnsi="宋体"/>
          <w:color w:val="auto"/>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14:paraId="42C48B9A">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14:paraId="21F8A144">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14:paraId="36DFF9B5">
      <w:pPr>
        <w:keepNext/>
        <w:keepLines/>
        <w:suppressLineNumbers/>
        <w:spacing w:beforeLines="0" w:afterLines="0"/>
        <w:ind w:firstLine="480" w:firstLineChars="200"/>
        <w:jc w:val="both"/>
        <w:rPr>
          <w:rFonts w:hint="eastAsia" w:ascii="宋体" w:hAnsi="宋体" w:eastAsia="宋体" w:cs="宋体"/>
          <w:color w:val="000000"/>
          <w:kern w:val="0"/>
          <w:sz w:val="24"/>
          <w:szCs w:val="24"/>
          <w:lang w:val="en-US"/>
        </w:rPr>
      </w:pPr>
      <w:r>
        <w:rPr>
          <w:rFonts w:hint="eastAsia" w:ascii="宋体" w:hAnsi="宋体" w:eastAsia="宋体" w:cs="宋体"/>
          <w:color w:val="000000"/>
          <w:kern w:val="0"/>
          <w:sz w:val="24"/>
          <w:szCs w:val="24"/>
          <w:lang w:val="en-US"/>
        </w:rPr>
        <w:t>根据预算绩效管理要求,本部门对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年度一般公共预算项目支出全面开展绩效自评,对2个项目开展了绩效自评，涉及资金45万元，2个项目自评结果为“优” 。本单位共组织对2023年度20万元及</w:t>
      </w:r>
      <w:bookmarkStart w:id="3" w:name="OLE_LINK4"/>
      <w:r>
        <w:rPr>
          <w:rFonts w:hint="eastAsia" w:ascii="宋体" w:hAnsi="宋体" w:eastAsia="宋体" w:cs="宋体"/>
          <w:color w:val="000000"/>
          <w:kern w:val="0"/>
          <w:sz w:val="24"/>
          <w:szCs w:val="24"/>
          <w:lang w:val="en-US"/>
        </w:rPr>
        <w:t>土地流转以奖代补项目</w:t>
      </w:r>
      <w:bookmarkEnd w:id="3"/>
      <w:r>
        <w:rPr>
          <w:rFonts w:hint="eastAsia" w:ascii="宋体" w:hAnsi="宋体" w:eastAsia="宋体" w:cs="宋体"/>
          <w:color w:val="000000"/>
          <w:kern w:val="0"/>
          <w:sz w:val="24"/>
          <w:szCs w:val="24"/>
          <w:lang w:val="en-US"/>
        </w:rPr>
        <w:t>20万元开展部门重点绩效评价，项目绩效评价结果均为优。产权制度改革项目主要用于工作宣传资料印制、培训资料印制、设备购买以及产改过程中开展指导、督促、检查等工作支出，土地流转以奖代补奖补主要扶持2家农民专业合作社。</w:t>
      </w:r>
    </w:p>
    <w:p w14:paraId="38CC3637">
      <w:pPr>
        <w:spacing w:before="100" w:beforeLines="0" w:after="100" w:afterLines="0"/>
        <w:ind w:firstLine="482" w:firstLineChars="20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14:paraId="789C3E9D">
      <w:pPr>
        <w:keepNext/>
        <w:keepLines/>
        <w:suppressLineNumbers/>
        <w:spacing w:beforeLines="0" w:afterLines="0"/>
        <w:ind w:firstLine="360" w:firstLineChars="150"/>
        <w:jc w:val="both"/>
        <w:rPr>
          <w:rFonts w:hint="eastAsia" w:ascii="宋体" w:hAnsi="宋体" w:eastAsia="宋体" w:cs="宋体"/>
          <w:color w:val="auto"/>
          <w:kern w:val="0"/>
          <w:sz w:val="24"/>
          <w:szCs w:val="24"/>
          <w:highlight w:val="none"/>
          <w:lang w:val="en-US"/>
        </w:rPr>
      </w:pPr>
      <w:r>
        <w:rPr>
          <w:rFonts w:hint="eastAsia" w:ascii="宋体" w:hAnsi="宋体" w:eastAsia="宋体" w:cs="宋体"/>
          <w:color w:val="000000"/>
          <w:kern w:val="0"/>
          <w:sz w:val="24"/>
          <w:szCs w:val="24"/>
          <w:highlight w:val="none"/>
          <w:lang w:val="en-US"/>
        </w:rPr>
        <w:t>我部门在</w:t>
      </w:r>
      <w:r>
        <w:rPr>
          <w:rFonts w:hint="eastAsia" w:ascii="宋体" w:hAnsi="宋体" w:eastAsia="宋体" w:cs="宋体"/>
          <w:color w:val="000000"/>
          <w:kern w:val="0"/>
          <w:sz w:val="24"/>
          <w:szCs w:val="24"/>
          <w:highlight w:val="none"/>
          <w:lang w:val="en-US" w:eastAsia="zh-CN"/>
        </w:rPr>
        <w:t>2023</w:t>
      </w:r>
      <w:r>
        <w:rPr>
          <w:rFonts w:hint="eastAsia" w:ascii="宋体" w:hAnsi="宋体" w:eastAsia="宋体" w:cs="宋体"/>
          <w:color w:val="000000"/>
          <w:kern w:val="0"/>
          <w:sz w:val="24"/>
          <w:szCs w:val="24"/>
          <w:highlight w:val="none"/>
          <w:lang w:val="en-US"/>
        </w:rPr>
        <w:t>年度部门决算中反映</w:t>
      </w:r>
      <w:bookmarkStart w:id="4" w:name="OLE_LINK5"/>
      <w:r>
        <w:rPr>
          <w:rFonts w:hint="eastAsia" w:ascii="宋体" w:hAnsi="宋体" w:eastAsia="宋体" w:cs="宋体"/>
          <w:color w:val="000000"/>
          <w:kern w:val="0"/>
          <w:sz w:val="24"/>
          <w:szCs w:val="24"/>
          <w:lang w:val="en-US"/>
        </w:rPr>
        <w:t>农村集体产权制度改革</w:t>
      </w:r>
      <w:r>
        <w:rPr>
          <w:rFonts w:hint="eastAsia" w:ascii="宋体" w:hAnsi="宋体" w:eastAsia="宋体" w:cs="宋体"/>
          <w:color w:val="auto"/>
          <w:kern w:val="0"/>
          <w:sz w:val="24"/>
          <w:szCs w:val="24"/>
          <w:lang w:val="en-US"/>
        </w:rPr>
        <w:t>项目</w:t>
      </w:r>
      <w:bookmarkEnd w:id="4"/>
      <w:r>
        <w:rPr>
          <w:rFonts w:hint="eastAsia" w:ascii="宋体" w:hAnsi="宋体" w:cs="宋体"/>
          <w:color w:val="auto"/>
          <w:kern w:val="0"/>
          <w:sz w:val="24"/>
          <w:szCs w:val="24"/>
          <w:highlight w:val="none"/>
          <w:lang w:val="en-US" w:eastAsia="zh-CN"/>
        </w:rPr>
        <w:t>、</w:t>
      </w:r>
      <w:bookmarkStart w:id="5" w:name="OLE_LINK6"/>
      <w:r>
        <w:rPr>
          <w:rFonts w:hint="eastAsia" w:ascii="宋体" w:hAnsi="宋体" w:eastAsia="宋体" w:cs="宋体"/>
          <w:color w:val="auto"/>
          <w:kern w:val="0"/>
          <w:sz w:val="24"/>
          <w:szCs w:val="24"/>
          <w:highlight w:val="none"/>
          <w:lang w:val="en-US"/>
        </w:rPr>
        <w:t>土地流转以奖代补项目</w:t>
      </w:r>
      <w:bookmarkEnd w:id="5"/>
      <w:r>
        <w:rPr>
          <w:rFonts w:hint="eastAsia" w:ascii="宋体" w:hAnsi="宋体" w:cs="宋体"/>
          <w:color w:val="auto"/>
          <w:kern w:val="0"/>
          <w:sz w:val="24"/>
          <w:szCs w:val="24"/>
          <w:highlight w:val="none"/>
          <w:lang w:val="en-US" w:eastAsia="zh-CN"/>
        </w:rPr>
        <w:t>2个</w:t>
      </w:r>
      <w:r>
        <w:rPr>
          <w:rFonts w:hint="eastAsia" w:ascii="宋体" w:hAnsi="宋体" w:eastAsia="宋体" w:cs="宋体"/>
          <w:color w:val="auto"/>
          <w:kern w:val="0"/>
          <w:sz w:val="24"/>
          <w:szCs w:val="24"/>
          <w:highlight w:val="none"/>
          <w:lang w:val="en-US"/>
        </w:rPr>
        <w:t>项目绩效自评结果。</w:t>
      </w:r>
    </w:p>
    <w:p w14:paraId="28D8F44B">
      <w:pPr>
        <w:keepNext/>
        <w:keepLines/>
        <w:suppressLineNumbers/>
        <w:spacing w:beforeLines="0" w:afterLines="0"/>
        <w:ind w:firstLine="480" w:firstLineChars="200"/>
        <w:jc w:val="both"/>
        <w:rPr>
          <w:rFonts w:hint="eastAsia" w:ascii="宋体" w:hAnsi="宋体" w:eastAsia="宋体" w:cs="宋体"/>
          <w:color w:val="auto"/>
          <w:kern w:val="0"/>
          <w:sz w:val="24"/>
          <w:szCs w:val="24"/>
          <w:lang w:val="en-US"/>
        </w:rPr>
      </w:pPr>
      <w:r>
        <w:rPr>
          <w:rFonts w:hint="eastAsia" w:ascii="宋体" w:hAnsi="宋体" w:eastAsia="宋体" w:cs="宋体"/>
          <w:color w:val="auto"/>
          <w:kern w:val="0"/>
          <w:sz w:val="24"/>
          <w:szCs w:val="24"/>
          <w:lang w:val="en-US" w:eastAsia="zh-CN"/>
        </w:rPr>
        <w:t>1.“</w:t>
      </w:r>
      <w:r>
        <w:rPr>
          <w:rFonts w:hint="eastAsia" w:ascii="宋体" w:hAnsi="宋体" w:eastAsia="宋体" w:cs="宋体"/>
          <w:color w:val="auto"/>
          <w:kern w:val="0"/>
          <w:sz w:val="24"/>
          <w:szCs w:val="24"/>
          <w:lang w:val="en-US"/>
        </w:rPr>
        <w:t>农村集体产权制度改革</w:t>
      </w:r>
      <w:r>
        <w:rPr>
          <w:rFonts w:hint="eastAsia" w:ascii="宋体" w:hAnsi="宋体" w:eastAsia="宋体" w:cs="宋体"/>
          <w:color w:val="auto"/>
          <w:kern w:val="0"/>
          <w:sz w:val="24"/>
          <w:szCs w:val="24"/>
          <w:lang w:val="en-US" w:eastAsia="zh-CN"/>
        </w:rPr>
        <w:t>”</w:t>
      </w:r>
      <w:r>
        <w:rPr>
          <w:rFonts w:hint="eastAsia" w:ascii="宋体" w:hAnsi="宋体" w:eastAsia="宋体" w:cs="宋体"/>
          <w:color w:val="auto"/>
          <w:kern w:val="0"/>
          <w:sz w:val="24"/>
          <w:szCs w:val="24"/>
          <w:lang w:val="en-US"/>
        </w:rPr>
        <w:t>项目绩效自评情况：根据年初设定的绩效目标,项目绩效自评得分为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w:t>
      </w:r>
    </w:p>
    <w:p w14:paraId="558FEF87">
      <w:pPr>
        <w:keepNext/>
        <w:keepLines/>
        <w:suppressLineNumbers/>
        <w:spacing w:beforeLines="0" w:afterLines="0"/>
        <w:ind w:firstLine="480" w:firstLineChars="200"/>
        <w:jc w:val="both"/>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lang w:val="en-US" w:eastAsia="zh-CN"/>
        </w:rPr>
        <w:t>2.“</w:t>
      </w:r>
      <w:r>
        <w:rPr>
          <w:rFonts w:hint="eastAsia" w:ascii="宋体" w:hAnsi="宋体" w:eastAsia="宋体" w:cs="宋体"/>
          <w:color w:val="auto"/>
          <w:kern w:val="0"/>
          <w:sz w:val="24"/>
          <w:szCs w:val="24"/>
          <w:highlight w:val="none"/>
          <w:lang w:val="en-US"/>
        </w:rPr>
        <w:t>土地流转以奖代补</w:t>
      </w:r>
      <w:r>
        <w:rPr>
          <w:rFonts w:hint="eastAsia" w:ascii="宋体" w:hAnsi="宋体" w:eastAsia="宋体" w:cs="宋体"/>
          <w:color w:val="auto"/>
          <w:kern w:val="0"/>
          <w:sz w:val="24"/>
          <w:szCs w:val="24"/>
          <w:lang w:val="en-US" w:eastAsia="zh-CN"/>
        </w:rPr>
        <w:t>”项目</w:t>
      </w:r>
      <w:r>
        <w:rPr>
          <w:rFonts w:hint="eastAsia" w:ascii="宋体" w:hAnsi="宋体" w:eastAsia="宋体" w:cs="宋体"/>
          <w:color w:val="auto"/>
          <w:kern w:val="0"/>
          <w:sz w:val="24"/>
          <w:szCs w:val="24"/>
          <w:lang w:val="en-US"/>
        </w:rPr>
        <w:t>绩效自评情况：根据年初设定的绩效目标,项目绩效自评得分为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s="宋体"/>
          <w:color w:val="auto"/>
          <w:kern w:val="0"/>
          <w:sz w:val="24"/>
          <w:szCs w:val="24"/>
          <w:lang w:val="en-US" w:eastAsia="zh-CN"/>
        </w:rPr>
        <w:t>20</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w:t>
      </w:r>
    </w:p>
    <w:p w14:paraId="08D317DA">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14:paraId="7CFFA984">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14:paraId="06584AF9">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14:paraId="73EAFC01">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14:paraId="5E7E4A7B">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14:paraId="3CA1E9E1">
      <w:pPr>
        <w:spacing w:before="100" w:beforeLines="0" w:after="100" w:afterLines="0"/>
        <w:ind w:firstLine="482" w:firstLineChars="20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14:paraId="6720D34C">
      <w:pPr>
        <w:spacing w:before="100" w:beforeLines="0" w:after="100" w:afterLines="0"/>
        <w:ind w:left="479" w:leftChars="228" w:firstLine="0" w:firstLineChar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w:t>
      </w:r>
    </w:p>
    <w:p w14:paraId="5409ED0C">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color w:val="auto"/>
          <w:sz w:val="24"/>
          <w:szCs w:val="24"/>
          <w:lang w:val="zh-CN"/>
        </w:rPr>
        <w:t>结转和结余、经营结余。</w:t>
      </w:r>
    </w:p>
    <w:p w14:paraId="0EBDC82B">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14:paraId="6693A1ED">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14:paraId="23075DBA">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14:paraId="65910B95">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14:paraId="32032BAF">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14:paraId="711BC834">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1FE71674">
      <w:pPr>
        <w:spacing w:before="100" w:beforeLines="0" w:after="100" w:afterLines="0"/>
        <w:ind w:firstLine="482" w:firstLineChars="200"/>
        <w:jc w:val="both"/>
        <w:rPr>
          <w:rFonts w:hint="eastAsia" w:ascii="宋体" w:hAnsi="宋体" w:eastAsia="宋体" w:cs="宋体"/>
          <w:color w:val="auto"/>
          <w:sz w:val="24"/>
          <w:szCs w:val="24"/>
          <w:lang w:val="en-US" w:eastAsia="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r>
        <w:rPr>
          <w:rFonts w:hint="eastAsia" w:ascii="宋体" w:hAnsi="宋体" w:cs="宋体"/>
          <w:color w:val="auto"/>
          <w:sz w:val="24"/>
          <w:szCs w:val="24"/>
          <w:lang w:val="en-US" w:eastAsia="zh-CN"/>
        </w:rPr>
        <w:t xml:space="preserve"> </w:t>
      </w:r>
    </w:p>
    <w:p w14:paraId="74BEBC63">
      <w:pPr>
        <w:spacing w:before="100" w:beforeLines="0" w:after="100" w:afterLines="0"/>
        <w:ind w:firstLine="482" w:firstLineChars="20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14:paraId="69E4B1B1">
      <w:pPr>
        <w:spacing w:before="100" w:beforeLines="0" w:after="100" w:afterLines="0"/>
        <w:jc w:val="both"/>
        <w:rPr>
          <w:rFonts w:hint="eastAsia" w:ascii="仿宋_GB2312" w:hAnsi="仿宋_GB2312" w:eastAsia="仿宋_GB2312" w:cs="仿宋_GB2312"/>
          <w:color w:val="auto"/>
          <w:sz w:val="32"/>
          <w:szCs w:val="32"/>
          <w:lang w:val="zh-CN"/>
        </w:rPr>
      </w:pP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C2A3C1"/>
    <w:multiLevelType w:val="singleLevel"/>
    <w:tmpl w:val="8DC2A3C1"/>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I5Yjg5MGI5ZTE0MTZhNjVkOGZiMTEyZDY5NWJhNzAifQ=="/>
  </w:docVars>
  <w:rsids>
    <w:rsidRoot w:val="00000000"/>
    <w:rsid w:val="28D948BF"/>
    <w:rsid w:val="330A684F"/>
    <w:rsid w:val="554E5BE9"/>
    <w:rsid w:val="61FD3AE5"/>
    <w:rsid w:val="7B1219B5"/>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eastAsia="宋体" w:asciiTheme="minorHAnsi" w:hAnsiTheme="minorHAnsi" w:cstheme="minorBidi"/>
      <w:kern w:val="2"/>
      <w:sz w:val="21"/>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Indent 2"/>
    <w:basedOn w:val="1"/>
    <w:next w:val="1"/>
    <w:qFormat/>
    <w:uiPriority w:val="99"/>
    <w:pPr>
      <w:spacing w:after="120" w:line="480" w:lineRule="auto"/>
      <w:ind w:left="420" w:leftChars="200"/>
    </w:pPr>
    <w:rPr>
      <w:szCs w:val="24"/>
    </w:rPr>
  </w:style>
  <w:style w:type="table" w:styleId="4">
    <w:name w:val="Table Gri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9.xml"/><Relationship Id="rId12" Type="http://schemas.openxmlformats.org/officeDocument/2006/relationships/customXml" Target="../customXml/item8.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3.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4.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admin</cp:lastModifiedBy>
  <dcterms:modified xsi:type="dcterms:W3CDTF">2024-08-20T02:55:27Z</dcterms:modified>
  <cp:revision>1</cp:revision>
</cp:coreProperties>
</file>

<file path=customXml/item5.xml><?xml version="1.0" encoding="utf-8"?>
<Properties xmlns:vt="http://schemas.openxmlformats.org/officeDocument/2006/docPropsVTypes" xmlns="http://schemas.openxmlformats.org/officeDocument/2006/custom-properties">
  <property fmtid="{D5CDD505-2E9C-101B-9397-08002B2CF9AE}" pid="2" name="KSOProductBuildVer">
    <vt:lpwstr>2052-11.1.0.12980</vt:lpwstr>
  </property>
  <property fmtid="{D5CDD505-2E9C-101B-9397-08002B2CF9AE}" pid="3" name="ICV">
    <vt:lpwstr>E06D266F13EA4024808CEEADBAD91186_11</vt:lpwstr>
  </property>
</Properties>
</file>

<file path=customXml/item6.xml><?xml version="1.0" encoding="utf-8"?>
<Properties xmlns:vt="http://schemas.openxmlformats.org/officeDocument/2006/docPropsVTypes" xmlns="http://schemas.openxmlformats.org/officeDocument/2006/extended-properties">
  <Template>Normal.dotm</Template>
  <TotalTime>7</TotalTime>
  <Pages>15</Pages>
  <Words>7184</Words>
  <Characters>19289</Characters>
  <Application>WPS Office_11.1.0.12980_F1E327BC-269C-435d-A152-05C5408002CA</Application>
  <DocSecurity>0</DocSecurity>
  <Lines>0</Lines>
  <Paragraphs>0</Paragraphs>
  <CharactersWithSpaces>19293</CharactersWithSpaces>
  <AppVersion>14.0000</AppVersion>
</Properties>
</file>

<file path=customXml/item7.xml><?xml version="1.0" encoding="utf-8"?>
<cp:coreProperties xmlns:cp="http://schemas.openxmlformats.org/package/2006/metadata/core-properties" xmlns:dc="http://purl.org/dc/elements/1.1/" xmlns:dcterms="http://purl.org/dc/terms/" xmlns:dcmitype="http://purl.org/dc/dcmitype/" xmlns:xsi="http://www.w3.org/2001/XMLSchema-instance">
  <dc:creator>O.L.Problem without you</dc:creator>
  <cp:lastModifiedBy>admin</cp:lastModifiedBy>
  <cp:revision>1</cp:revision>
  <dcterms:created xsi:type="dcterms:W3CDTF">2023-07-20T03:33:00Z</dcterms:created>
  <dcterms:modified xsi:type="dcterms:W3CDTF">2024-08-20T02:55:27Z</dcterms:modified>
</cp:coreProperties>
</file>

<file path=customXml/item8.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E06D266F13EA4024808CEEADBAD91186_11</vt:lpwstr>
  </property>
</Properties>
</file>

<file path=customXml/item9.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7</TotalTime>
  <ScaleCrop>false</ScaleCrop>
  <LinksUpToDate>false</LinksUpToDate>
  <CharactersWithSpaces>19293</CharactersWithSpaces>
  <Application>WPS Office_11.1.0.12980_F1E327BC-269C-435d-A152-05C5408002CA</Application>
  <DocSecurity>0</DocSecurity>
</Properties>
</file>

<file path=customXml/itemProps1.xml><?xml version="1.0" encoding="utf-8"?>
<ds:datastoreItem xmlns:ds="http://schemas.openxmlformats.org/officeDocument/2006/customXml" ds:itemID="{e0bf4f68-1b6c-49c8-9fa2-2fbfd0d21aef}">
  <ds:schemaRefs/>
</ds:datastoreItem>
</file>

<file path=customXml/itemProps2.xml><?xml version="1.0" encoding="utf-8"?>
<ds:datastoreItem xmlns:ds="http://schemas.openxmlformats.org/officeDocument/2006/customXml" ds:itemID="{a2758428-7917-4e71-9c2d-0e60110bc7fe}">
  <ds:schemaRefs/>
</ds:datastoreItem>
</file>

<file path=customXml/itemProps3.xml><?xml version="1.0" encoding="utf-8"?>
<ds:datastoreItem xmlns:ds="http://schemas.openxmlformats.org/officeDocument/2006/customXml" ds:itemID="{22717257-e7bd-4b14-8e15-c4700ec68209}">
  <ds:schemaRefs/>
</ds:datastoreItem>
</file>

<file path=customXml/itemProps4.xml><?xml version="1.0" encoding="utf-8"?>
<ds:datastoreItem xmlns:ds="http://schemas.openxmlformats.org/officeDocument/2006/customXml" ds:itemID="{6785fa04-ce3e-48b0-959f-d27204d530b9}">
  <ds:schemaRefs/>
</ds:datastoreItem>
</file>

<file path=customXml/itemProps5.xml><?xml version="1.0" encoding="utf-8"?>
<ds:datastoreItem xmlns:ds="http://schemas.openxmlformats.org/officeDocument/2006/customXml" ds:itemID="{5704153b-515c-4387-a8c2-ed13cf328029}">
  <ds:schemaRefs/>
</ds:datastoreItem>
</file>

<file path=customXml/itemProps6.xml><?xml version="1.0" encoding="utf-8"?>
<ds:datastoreItem xmlns:ds="http://schemas.openxmlformats.org/officeDocument/2006/customXml" ds:itemID="{4512910f-77b5-4f79-92d8-3ece054893d1}">
  <ds:schemaRefs/>
</ds:datastoreItem>
</file>

<file path=customXml/itemProps7.xml><?xml version="1.0" encoding="utf-8"?>
<ds:datastoreItem xmlns:ds="http://schemas.openxmlformats.org/officeDocument/2006/customXml" ds:itemID="{36760b80-73f5-4666-8280-846bbab12cfa}">
  <ds:schemaRefs/>
</ds:datastoreItem>
</file>

<file path=customXml/itemProps8.xml><?xml version="1.0" encoding="utf-8"?>
<ds:datastoreItem xmlns:ds="http://schemas.openxmlformats.org/officeDocument/2006/customXml" ds:itemID="{550ace71-1d04-48a4-9177-eacf855a3a2c}">
  <ds:schemaRefs/>
</ds:datastoreItem>
</file>

<file path=customXml/itemProps9.xml><?xml version="1.0" encoding="utf-8"?>
<ds:datastoreItem xmlns:ds="http://schemas.openxmlformats.org/officeDocument/2006/customXml" ds:itemID="{04315672-e61c-41f0-9c7c-0cbd910d7858}">
  <ds:schemaRefs/>
</ds:datastoreItem>
</file>

<file path=docProps/app.xml><?xml version="1.0" encoding="utf-8"?>
<Properties xmlns="http://schemas.openxmlformats.org/officeDocument/2006/extended-properties" xmlns:vt="http://schemas.openxmlformats.org/officeDocument/2006/docPropsVTypes">
  <Template>Normal.dotm</Template>
  <Pages>5</Pages>
  <Words>3388</Words>
  <Characters>3698</Characters>
  <Lines>0</Lines>
  <Paragraphs>0</Paragraphs>
  <TotalTime>27</TotalTime>
  <ScaleCrop>false</ScaleCrop>
  <LinksUpToDate>false</LinksUpToDate>
  <CharactersWithSpaces>3712</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2023-07-20T03:33:00Z</dcterms:created>
  <dc:creator>O.L.Problem without you</dc:creator>
  <cp:lastModifiedBy>浅笑、淡然</cp:lastModifiedBy>
  <cp:lastPrinted>2024-09-14T03:14:47Z</cp:lastPrinted>
  <dcterms:modified xsi:type="dcterms:W3CDTF">2024-09-14T03:15:40Z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2010259B681344DCAFC503C64DE1CC38_13</vt:lpwstr>
  </property>
</Properties>
</file>